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D3BD" w14:textId="2D69E800" w:rsidR="00BE296E" w:rsidRPr="009F251A" w:rsidRDefault="00BE16F1" w:rsidP="004640F5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9F251A">
        <w:rPr>
          <w:rFonts w:ascii="Times New Roman" w:hAnsi="Times New Roman"/>
          <w:bCs/>
          <w:i/>
          <w:iCs/>
          <w:sz w:val="24"/>
          <w:szCs w:val="24"/>
        </w:rPr>
        <w:t>Приложение ТЕРЕС-</w:t>
      </w:r>
      <w:r w:rsidR="004640F5">
        <w:rPr>
          <w:rFonts w:ascii="Times New Roman" w:hAnsi="Times New Roman"/>
          <w:bCs/>
          <w:i/>
          <w:iCs/>
          <w:sz w:val="24"/>
          <w:szCs w:val="24"/>
        </w:rPr>
        <w:t>КМ</w:t>
      </w:r>
    </w:p>
    <w:p w14:paraId="3EC1452C" w14:textId="77777777" w:rsidR="00BD1412" w:rsidRPr="009F251A" w:rsidRDefault="00BD1412" w:rsidP="0094728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D9D8018" w14:textId="77777777" w:rsidR="0002749A" w:rsidRDefault="0002749A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4EF9872B" w14:textId="77777777" w:rsidR="0002749A" w:rsidRDefault="0002749A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4203DC99" w14:textId="77777777" w:rsidR="0002749A" w:rsidRDefault="0002749A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1B44CEF3" w14:textId="77777777" w:rsidR="0002749A" w:rsidRDefault="0002749A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2EE393D8" w14:textId="77777777" w:rsidR="0002749A" w:rsidRDefault="0002749A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18FD0EF" w14:textId="77777777" w:rsidR="0002749A" w:rsidRPr="009B0A4C" w:rsidRDefault="00BE16F1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B0A4C">
        <w:rPr>
          <w:rFonts w:ascii="Times New Roman" w:hAnsi="Times New Roman"/>
          <w:b/>
          <w:sz w:val="36"/>
          <w:szCs w:val="36"/>
        </w:rPr>
        <w:t>Т</w:t>
      </w:r>
      <w:r w:rsidR="00C3558A" w:rsidRPr="009B0A4C">
        <w:rPr>
          <w:rFonts w:ascii="Times New Roman" w:hAnsi="Times New Roman"/>
          <w:b/>
          <w:sz w:val="36"/>
          <w:szCs w:val="36"/>
        </w:rPr>
        <w:t xml:space="preserve">аблица на </w:t>
      </w:r>
      <w:r w:rsidR="0001211F" w:rsidRPr="009B0A4C">
        <w:rPr>
          <w:rFonts w:ascii="Times New Roman" w:hAnsi="Times New Roman"/>
          <w:b/>
          <w:sz w:val="36"/>
          <w:szCs w:val="36"/>
        </w:rPr>
        <w:t xml:space="preserve">единичните </w:t>
      </w:r>
      <w:r w:rsidR="00C3558A" w:rsidRPr="009B0A4C">
        <w:rPr>
          <w:rFonts w:ascii="Times New Roman" w:hAnsi="Times New Roman"/>
          <w:b/>
          <w:sz w:val="36"/>
          <w:szCs w:val="36"/>
        </w:rPr>
        <w:t xml:space="preserve">разходи </w:t>
      </w:r>
      <w:r w:rsidRPr="009B0A4C">
        <w:rPr>
          <w:rFonts w:ascii="Times New Roman" w:hAnsi="Times New Roman"/>
          <w:b/>
          <w:sz w:val="36"/>
          <w:szCs w:val="36"/>
        </w:rPr>
        <w:t xml:space="preserve">и еднократните суми </w:t>
      </w:r>
      <w:r w:rsidR="00C3558A" w:rsidRPr="009B0A4C">
        <w:rPr>
          <w:rFonts w:ascii="Times New Roman" w:hAnsi="Times New Roman"/>
          <w:b/>
          <w:sz w:val="36"/>
          <w:szCs w:val="36"/>
        </w:rPr>
        <w:t>по процедура</w:t>
      </w:r>
    </w:p>
    <w:p w14:paraId="0FC50B58" w14:textId="77777777" w:rsidR="0002749A" w:rsidRPr="009B0A4C" w:rsidRDefault="0002749A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highlight w:val="yellow"/>
          <w:lang w:val="en-US"/>
        </w:rPr>
      </w:pPr>
    </w:p>
    <w:p w14:paraId="1768D15B" w14:textId="46BF4F50" w:rsidR="00A877CF" w:rsidRPr="009B0A4C" w:rsidRDefault="00A877CF" w:rsidP="0094728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en-US"/>
        </w:rPr>
      </w:pPr>
      <w:bookmarkStart w:id="0" w:name="_Hlk131601644"/>
      <w:r w:rsidRPr="009B0A4C">
        <w:rPr>
          <w:rFonts w:ascii="Times New Roman" w:hAnsi="Times New Roman"/>
          <w:b/>
          <w:sz w:val="36"/>
          <w:szCs w:val="36"/>
          <w:lang w:val="en-US"/>
        </w:rPr>
        <w:t>BG05SFPR001-</w:t>
      </w:r>
      <w:r w:rsidR="004640F5" w:rsidRPr="009B0A4C">
        <w:rPr>
          <w:rFonts w:ascii="Times New Roman" w:hAnsi="Times New Roman"/>
          <w:b/>
          <w:sz w:val="36"/>
          <w:szCs w:val="36"/>
        </w:rPr>
        <w:t>2</w:t>
      </w:r>
      <w:r w:rsidRPr="009B0A4C">
        <w:rPr>
          <w:rFonts w:ascii="Times New Roman" w:hAnsi="Times New Roman"/>
          <w:b/>
          <w:sz w:val="36"/>
          <w:szCs w:val="36"/>
          <w:lang w:val="en-US"/>
        </w:rPr>
        <w:t>.001</w:t>
      </w:r>
    </w:p>
    <w:p w14:paraId="666487C4" w14:textId="29076ACB" w:rsidR="004640F5" w:rsidRPr="009B0A4C" w:rsidRDefault="009B0A4C" w:rsidP="004640F5">
      <w:pPr>
        <w:spacing w:after="12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1" w:name="_Hlk131492395"/>
      <w:r w:rsidRPr="009B0A4C">
        <w:rPr>
          <w:rFonts w:ascii="Times New Roman" w:hAnsi="Times New Roman"/>
          <w:b/>
          <w:sz w:val="36"/>
          <w:szCs w:val="36"/>
        </w:rPr>
        <w:t>„Подобряване на качеството на общото образование чрез ефективно прилагане на компетентностен модел“</w:t>
      </w:r>
    </w:p>
    <w:bookmarkEnd w:id="0"/>
    <w:bookmarkEnd w:id="1"/>
    <w:p w14:paraId="77F3D714" w14:textId="1A967FF9" w:rsidR="00C3558A" w:rsidRPr="009B0A4C" w:rsidRDefault="00C3558A" w:rsidP="00097B68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 w:rsidRPr="009B0A4C">
        <w:rPr>
          <w:rFonts w:ascii="Times New Roman" w:hAnsi="Times New Roman"/>
          <w:b/>
          <w:sz w:val="36"/>
          <w:szCs w:val="36"/>
        </w:rPr>
        <w:t xml:space="preserve"> </w:t>
      </w:r>
    </w:p>
    <w:p w14:paraId="608EFFCB" w14:textId="62AB803C" w:rsidR="00C3558A" w:rsidRPr="009B0A4C" w:rsidRDefault="00C3558A" w:rsidP="00C3558A">
      <w:pPr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14:paraId="68636EDD" w14:textId="49A0F1CC" w:rsidR="00C467E3" w:rsidRPr="009F251A" w:rsidRDefault="00C467E3" w:rsidP="00C3558A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14:paraId="3E68ECF6" w14:textId="77777777" w:rsidR="00C467E3" w:rsidRPr="009F251A" w:rsidRDefault="00C467E3" w:rsidP="00C3558A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14:paraId="7B44DFFA" w14:textId="77777777" w:rsidR="0002749A" w:rsidRDefault="0002749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14:paraId="7F55E5E7" w14:textId="77777777" w:rsidR="008825E5" w:rsidRPr="009F251A" w:rsidRDefault="008825E5" w:rsidP="00D53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865885" w14:textId="19F7C270" w:rsidR="008825E5" w:rsidRPr="009F251A" w:rsidRDefault="00EF4FCC" w:rsidP="00964838">
      <w:pPr>
        <w:pStyle w:val="Style1"/>
      </w:pPr>
      <w:bookmarkStart w:id="2" w:name="_Toc121408996"/>
      <w:bookmarkStart w:id="3" w:name="_Toc121493475"/>
      <w:r>
        <w:t>Общи положения</w:t>
      </w:r>
      <w:bookmarkEnd w:id="2"/>
      <w:bookmarkEnd w:id="3"/>
    </w:p>
    <w:p w14:paraId="7B408470" w14:textId="77777777" w:rsidR="00AA5923" w:rsidRPr="009F251A" w:rsidRDefault="00AA5923" w:rsidP="00606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5A8BE4" w14:textId="1C176460" w:rsidR="000E0F06" w:rsidRPr="009F251A" w:rsidRDefault="000E0F06" w:rsidP="00606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 xml:space="preserve">При изпълнението на </w:t>
      </w:r>
      <w:r w:rsidR="00D862C5" w:rsidRPr="009F251A">
        <w:rPr>
          <w:rFonts w:ascii="Times New Roman" w:hAnsi="Times New Roman"/>
          <w:sz w:val="24"/>
          <w:szCs w:val="24"/>
        </w:rPr>
        <w:t>допустими</w:t>
      </w:r>
      <w:r w:rsidRPr="009F251A">
        <w:rPr>
          <w:rFonts w:ascii="Times New Roman" w:hAnsi="Times New Roman"/>
          <w:sz w:val="24"/>
          <w:szCs w:val="24"/>
        </w:rPr>
        <w:t>те</w:t>
      </w:r>
      <w:r w:rsidR="00D862C5" w:rsidRPr="009F251A">
        <w:rPr>
          <w:rFonts w:ascii="Times New Roman" w:hAnsi="Times New Roman"/>
          <w:sz w:val="24"/>
          <w:szCs w:val="24"/>
        </w:rPr>
        <w:t xml:space="preserve"> преки дейности п</w:t>
      </w:r>
      <w:r w:rsidR="00C3558A" w:rsidRPr="009F251A">
        <w:rPr>
          <w:rFonts w:ascii="Times New Roman" w:hAnsi="Times New Roman"/>
          <w:sz w:val="24"/>
          <w:szCs w:val="24"/>
        </w:rPr>
        <w:t xml:space="preserve">о процедура </w:t>
      </w:r>
      <w:r w:rsidR="00FE1527" w:rsidRPr="00FE1527">
        <w:rPr>
          <w:rFonts w:ascii="Times New Roman" w:hAnsi="Times New Roman"/>
          <w:sz w:val="24"/>
          <w:szCs w:val="24"/>
        </w:rPr>
        <w:t>BG05SFPR001-</w:t>
      </w:r>
      <w:r w:rsidR="008F6DF9">
        <w:rPr>
          <w:rFonts w:ascii="Times New Roman" w:hAnsi="Times New Roman"/>
          <w:sz w:val="24"/>
          <w:szCs w:val="24"/>
        </w:rPr>
        <w:t>2</w:t>
      </w:r>
      <w:r w:rsidR="00FE1527" w:rsidRPr="00FE1527">
        <w:rPr>
          <w:rFonts w:ascii="Times New Roman" w:hAnsi="Times New Roman"/>
          <w:sz w:val="24"/>
          <w:szCs w:val="24"/>
        </w:rPr>
        <w:t>.001</w:t>
      </w:r>
      <w:r w:rsidR="00FE1527" w:rsidRPr="009F251A">
        <w:rPr>
          <w:rFonts w:ascii="Times New Roman" w:hAnsi="Times New Roman"/>
          <w:sz w:val="24"/>
          <w:szCs w:val="24"/>
        </w:rPr>
        <w:t xml:space="preserve"> </w:t>
      </w:r>
      <w:r w:rsidR="00C3558A" w:rsidRPr="009F251A">
        <w:rPr>
          <w:rFonts w:ascii="Times New Roman" w:hAnsi="Times New Roman"/>
          <w:sz w:val="24"/>
          <w:szCs w:val="24"/>
        </w:rPr>
        <w:t>„</w:t>
      </w:r>
      <w:r w:rsidR="00EA0A3A" w:rsidRPr="00EA0A3A">
        <w:rPr>
          <w:rFonts w:ascii="Times New Roman" w:hAnsi="Times New Roman"/>
          <w:sz w:val="24"/>
          <w:szCs w:val="24"/>
        </w:rPr>
        <w:t>Подобряване на качеството на общото образование чрез ефективно прилагане на компетентностен модел</w:t>
      </w:r>
      <w:r w:rsidR="00C3558A" w:rsidRPr="009F251A">
        <w:rPr>
          <w:rFonts w:ascii="Times New Roman" w:hAnsi="Times New Roman"/>
          <w:sz w:val="24"/>
          <w:szCs w:val="24"/>
        </w:rPr>
        <w:t>“</w:t>
      </w:r>
      <w:r w:rsidRPr="009F251A">
        <w:rPr>
          <w:rFonts w:ascii="Times New Roman" w:hAnsi="Times New Roman"/>
          <w:sz w:val="24"/>
          <w:szCs w:val="24"/>
        </w:rPr>
        <w:t xml:space="preserve"> се прилагат единични разходи, които са </w:t>
      </w:r>
      <w:r w:rsidR="004B7EF8" w:rsidRPr="009F251A">
        <w:rPr>
          <w:rFonts w:ascii="Times New Roman" w:hAnsi="Times New Roman"/>
          <w:sz w:val="24"/>
          <w:szCs w:val="24"/>
        </w:rPr>
        <w:t xml:space="preserve">обосновани, </w:t>
      </w:r>
      <w:r w:rsidRPr="009F251A">
        <w:rPr>
          <w:rFonts w:ascii="Times New Roman" w:hAnsi="Times New Roman"/>
          <w:sz w:val="24"/>
          <w:szCs w:val="24"/>
        </w:rPr>
        <w:t xml:space="preserve">определени и прилагани през предходния програмен период, както е посочено в </w:t>
      </w:r>
      <w:r w:rsidR="00EA62DB" w:rsidRPr="009F251A">
        <w:rPr>
          <w:rFonts w:ascii="Times New Roman" w:hAnsi="Times New Roman"/>
          <w:sz w:val="24"/>
          <w:szCs w:val="24"/>
        </w:rPr>
        <w:t xml:space="preserve">раздел 1 на </w:t>
      </w:r>
      <w:r w:rsidR="002B0E29" w:rsidRPr="009F251A">
        <w:rPr>
          <w:rFonts w:ascii="Times New Roman" w:hAnsi="Times New Roman"/>
          <w:sz w:val="24"/>
          <w:szCs w:val="24"/>
        </w:rPr>
        <w:t xml:space="preserve">Приложение </w:t>
      </w:r>
      <w:r w:rsidR="003B7A67" w:rsidRPr="009F251A">
        <w:rPr>
          <w:rFonts w:ascii="Times New Roman" w:hAnsi="Times New Roman"/>
          <w:sz w:val="24"/>
          <w:szCs w:val="24"/>
        </w:rPr>
        <w:t>ТЕРЕС-ПО</w:t>
      </w:r>
      <w:r w:rsidR="002B0E29" w:rsidRPr="009F251A">
        <w:rPr>
          <w:rFonts w:ascii="Times New Roman" w:hAnsi="Times New Roman"/>
          <w:sz w:val="24"/>
          <w:szCs w:val="24"/>
        </w:rPr>
        <w:t xml:space="preserve"> (</w:t>
      </w:r>
      <w:r w:rsidR="003B7A67" w:rsidRPr="009F251A">
        <w:rPr>
          <w:rFonts w:ascii="Times New Roman" w:hAnsi="Times New Roman"/>
          <w:i/>
          <w:iCs/>
          <w:sz w:val="24"/>
          <w:szCs w:val="24"/>
        </w:rPr>
        <w:t>Т</w:t>
      </w:r>
      <w:r w:rsidRPr="009F251A">
        <w:rPr>
          <w:rFonts w:ascii="Times New Roman" w:hAnsi="Times New Roman"/>
          <w:i/>
          <w:iCs/>
          <w:sz w:val="24"/>
          <w:szCs w:val="24"/>
        </w:rPr>
        <w:t>аблица на единичните разходи и еднократните суми, които може да се прилагат за процедури, финансирани от Програма „Образование“ през програмния период 2021-2027 г.</w:t>
      </w:r>
      <w:r w:rsidR="002B0E29" w:rsidRPr="009F251A">
        <w:rPr>
          <w:rFonts w:ascii="Times New Roman" w:hAnsi="Times New Roman"/>
          <w:sz w:val="24"/>
          <w:szCs w:val="24"/>
        </w:rPr>
        <w:t>).</w:t>
      </w:r>
      <w:r w:rsidR="007200EA" w:rsidRPr="009F251A">
        <w:rPr>
          <w:rFonts w:ascii="Times New Roman" w:hAnsi="Times New Roman"/>
          <w:sz w:val="24"/>
          <w:szCs w:val="24"/>
        </w:rPr>
        <w:t xml:space="preserve"> </w:t>
      </w:r>
      <w:r w:rsidR="005339D6" w:rsidRPr="005339D6">
        <w:rPr>
          <w:rFonts w:ascii="Times New Roman" w:hAnsi="Times New Roman"/>
          <w:sz w:val="24"/>
          <w:szCs w:val="24"/>
        </w:rPr>
        <w:t>В раздел 3 на Приложение ТЕРЕС-ПО са описани новите единични разходи, утвърдени от Ръководителя на УО при изпълнението на Програма „Образование“ 2021-2027, както и актуализираните стойности на единичните разходи, определени за първи път при изпълнението на ОПНОИР, които се използват в момента при изпълнението на проекти, финансирани от Програма „Образование“.</w:t>
      </w:r>
      <w:r w:rsidR="00DB395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200EA" w:rsidRPr="009F251A">
        <w:rPr>
          <w:rFonts w:ascii="Times New Roman" w:hAnsi="Times New Roman"/>
          <w:sz w:val="24"/>
          <w:szCs w:val="24"/>
        </w:rPr>
        <w:t xml:space="preserve">За част от </w:t>
      </w:r>
      <w:r w:rsidR="00ED31E5" w:rsidRPr="009F251A">
        <w:rPr>
          <w:rFonts w:ascii="Times New Roman" w:hAnsi="Times New Roman"/>
          <w:sz w:val="24"/>
          <w:szCs w:val="24"/>
        </w:rPr>
        <w:t xml:space="preserve">финансираните дейности </w:t>
      </w:r>
      <w:r w:rsidR="00E84F03">
        <w:rPr>
          <w:rFonts w:ascii="Times New Roman" w:hAnsi="Times New Roman"/>
          <w:sz w:val="24"/>
          <w:szCs w:val="24"/>
        </w:rPr>
        <w:t xml:space="preserve">по процедура </w:t>
      </w:r>
      <w:r w:rsidR="004036B1" w:rsidRPr="004036B1">
        <w:rPr>
          <w:rFonts w:ascii="Times New Roman" w:hAnsi="Times New Roman"/>
          <w:sz w:val="24"/>
          <w:szCs w:val="24"/>
        </w:rPr>
        <w:t>BG05SFPR001-2.001 „Подобряване на качеството на общото образование чрез ефективно прилагане на компетентностен модел“</w:t>
      </w:r>
      <w:r w:rsidR="004036B1">
        <w:rPr>
          <w:rFonts w:ascii="Times New Roman" w:hAnsi="Times New Roman"/>
          <w:sz w:val="24"/>
          <w:szCs w:val="24"/>
        </w:rPr>
        <w:t xml:space="preserve"> </w:t>
      </w:r>
      <w:r w:rsidR="00ED31E5" w:rsidRPr="009F251A">
        <w:rPr>
          <w:rFonts w:ascii="Times New Roman" w:hAnsi="Times New Roman"/>
          <w:sz w:val="24"/>
          <w:szCs w:val="24"/>
        </w:rPr>
        <w:t xml:space="preserve">са определени нови </w:t>
      </w:r>
      <w:r w:rsidR="00BD0B17">
        <w:rPr>
          <w:rFonts w:ascii="Times New Roman" w:hAnsi="Times New Roman"/>
          <w:sz w:val="24"/>
          <w:szCs w:val="24"/>
        </w:rPr>
        <w:t>единични разходи</w:t>
      </w:r>
      <w:r w:rsidR="00AB7F2D" w:rsidRPr="009F251A">
        <w:rPr>
          <w:rFonts w:ascii="Times New Roman" w:hAnsi="Times New Roman"/>
          <w:sz w:val="24"/>
          <w:szCs w:val="24"/>
        </w:rPr>
        <w:t>, които са описани и обосновани в настоящия документ.</w:t>
      </w:r>
    </w:p>
    <w:p w14:paraId="4AFE4A25" w14:textId="7CA8BAEC" w:rsidR="00E75F60" w:rsidRDefault="00E75F60" w:rsidP="002861B6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3B">
        <w:rPr>
          <w:rFonts w:ascii="Times New Roman" w:hAnsi="Times New Roman"/>
          <w:sz w:val="24"/>
          <w:szCs w:val="24"/>
        </w:rPr>
        <w:t xml:space="preserve">Във връзка с прилагането през програмен период 2021-2027 г. на резултатно базиран подход изпълнението на </w:t>
      </w:r>
      <w:r w:rsidR="004A59D6">
        <w:rPr>
          <w:rFonts w:ascii="Times New Roman" w:hAnsi="Times New Roman"/>
          <w:sz w:val="24"/>
          <w:szCs w:val="24"/>
        </w:rPr>
        <w:t xml:space="preserve">проектните </w:t>
      </w:r>
      <w:r>
        <w:rPr>
          <w:rFonts w:ascii="Times New Roman" w:hAnsi="Times New Roman"/>
          <w:sz w:val="24"/>
          <w:szCs w:val="24"/>
        </w:rPr>
        <w:t>дейности</w:t>
      </w:r>
      <w:r w:rsidRPr="008C7B3B">
        <w:rPr>
          <w:rFonts w:ascii="Times New Roman" w:hAnsi="Times New Roman"/>
          <w:sz w:val="24"/>
          <w:szCs w:val="24"/>
        </w:rPr>
        <w:t xml:space="preserve"> </w:t>
      </w:r>
      <w:r w:rsidR="00245D28">
        <w:rPr>
          <w:rFonts w:ascii="Times New Roman" w:hAnsi="Times New Roman"/>
          <w:sz w:val="24"/>
          <w:szCs w:val="24"/>
        </w:rPr>
        <w:t>трябва</w:t>
      </w:r>
      <w:r w:rsidRPr="008C7B3B">
        <w:rPr>
          <w:rFonts w:ascii="Times New Roman" w:hAnsi="Times New Roman"/>
          <w:sz w:val="24"/>
          <w:szCs w:val="24"/>
        </w:rPr>
        <w:t xml:space="preserve"> да бъде </w:t>
      </w:r>
      <w:r w:rsidRPr="00740107">
        <w:rPr>
          <w:rFonts w:ascii="Times New Roman" w:hAnsi="Times New Roman"/>
          <w:sz w:val="24"/>
          <w:szCs w:val="24"/>
        </w:rPr>
        <w:t>организирано в</w:t>
      </w:r>
      <w:r w:rsidRPr="008C7B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45D28" w:rsidRPr="00CD7514">
        <w:rPr>
          <w:rFonts w:ascii="Times New Roman" w:hAnsi="Times New Roman"/>
          <w:sz w:val="24"/>
          <w:szCs w:val="24"/>
        </w:rPr>
        <w:t>следните</w:t>
      </w:r>
      <w:r w:rsidR="00245D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7B3B">
        <w:rPr>
          <w:rFonts w:ascii="Times New Roman" w:hAnsi="Times New Roman"/>
          <w:b/>
          <w:bCs/>
          <w:sz w:val="24"/>
          <w:szCs w:val="24"/>
        </w:rPr>
        <w:t>работни пакети</w:t>
      </w:r>
      <w:r w:rsidR="005B6E7D">
        <w:rPr>
          <w:rFonts w:ascii="Times New Roman" w:hAnsi="Times New Roman"/>
          <w:b/>
          <w:bCs/>
          <w:sz w:val="24"/>
          <w:szCs w:val="24"/>
        </w:rPr>
        <w:t>:</w:t>
      </w:r>
    </w:p>
    <w:p w14:paraId="50CBBD49" w14:textId="3E2A1144" w:rsidR="005B6E7D" w:rsidRDefault="009A0D22" w:rsidP="00606F4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РП 1. Създаване на методология за менторство и коучинг, обучение и продължаваща подкрепа на менторите</w:t>
      </w:r>
    </w:p>
    <w:p w14:paraId="6A5FC35D" w14:textId="164B24D6" w:rsidR="009A0D22" w:rsidRDefault="00FB631F" w:rsidP="00606F4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D7514">
        <w:rPr>
          <w:rFonts w:ascii="Times New Roman" w:hAnsi="Times New Roman"/>
          <w:b/>
          <w:bCs/>
          <w:sz w:val="24"/>
          <w:szCs w:val="24"/>
        </w:rPr>
        <w:t xml:space="preserve">РП 2. </w:t>
      </w:r>
      <w:r w:rsidRPr="00740107">
        <w:rPr>
          <w:rFonts w:ascii="Times New Roman" w:hAnsi="Times New Roman"/>
          <w:b/>
          <w:bCs/>
          <w:sz w:val="24"/>
          <w:szCs w:val="24"/>
        </w:rPr>
        <w:t>Разработване</w:t>
      </w:r>
      <w:r>
        <w:rPr>
          <w:rFonts w:ascii="Times New Roman" w:hAnsi="Times New Roman"/>
          <w:b/>
          <w:bCs/>
          <w:sz w:val="24"/>
          <w:szCs w:val="24"/>
        </w:rPr>
        <w:t xml:space="preserve"> и изпълнение на </w:t>
      </w:r>
      <w:r w:rsidRPr="008C7B3B">
        <w:rPr>
          <w:rFonts w:ascii="Times New Roman" w:hAnsi="Times New Roman"/>
          <w:b/>
          <w:bCs/>
          <w:sz w:val="24"/>
          <w:szCs w:val="24"/>
        </w:rPr>
        <w:t>Методически план за развитие на ключови компетентности</w:t>
      </w:r>
      <w:r w:rsidR="005760B8">
        <w:rPr>
          <w:rFonts w:ascii="Times New Roman" w:hAnsi="Times New Roman"/>
          <w:b/>
          <w:bCs/>
          <w:sz w:val="24"/>
          <w:szCs w:val="24"/>
        </w:rPr>
        <w:t xml:space="preserve"> (МПРКК)</w:t>
      </w:r>
    </w:p>
    <w:p w14:paraId="255B3744" w14:textId="7720542E" w:rsidR="00B12C54" w:rsidRDefault="00B12C54" w:rsidP="00606F4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РП 3. </w:t>
      </w:r>
      <w:r w:rsidR="00DA28C9" w:rsidRPr="00EE621C">
        <w:rPr>
          <w:rFonts w:ascii="Times New Roman" w:hAnsi="Times New Roman"/>
          <w:b/>
          <w:bCs/>
          <w:sz w:val="24"/>
          <w:szCs w:val="24"/>
        </w:rPr>
        <w:t>Разработване на учебни програми и дескриптори</w:t>
      </w:r>
    </w:p>
    <w:p w14:paraId="75186672" w14:textId="47CB57D9" w:rsidR="00DA28C9" w:rsidRDefault="00DA28C9" w:rsidP="00606F4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РП 4. </w:t>
      </w:r>
      <w:r w:rsidR="00F6656B" w:rsidRPr="00EE621C">
        <w:rPr>
          <w:rFonts w:ascii="Times New Roman" w:hAnsi="Times New Roman"/>
          <w:b/>
          <w:bCs/>
          <w:sz w:val="24"/>
          <w:szCs w:val="24"/>
        </w:rPr>
        <w:t xml:space="preserve">Създаване на </w:t>
      </w:r>
      <w:r w:rsidR="00F6656B">
        <w:rPr>
          <w:rFonts w:ascii="Times New Roman" w:hAnsi="Times New Roman"/>
          <w:b/>
          <w:bCs/>
          <w:sz w:val="24"/>
          <w:szCs w:val="24"/>
        </w:rPr>
        <w:t>банка от задачи и казуси</w:t>
      </w:r>
      <w:r w:rsidR="00F6656B" w:rsidRPr="00EE621C">
        <w:rPr>
          <w:rFonts w:ascii="Times New Roman" w:hAnsi="Times New Roman"/>
          <w:b/>
          <w:bCs/>
          <w:sz w:val="24"/>
          <w:szCs w:val="24"/>
        </w:rPr>
        <w:t xml:space="preserve"> за вътрешно оценяване</w:t>
      </w:r>
    </w:p>
    <w:p w14:paraId="4C58AC9F" w14:textId="4253F79F" w:rsidR="00F6656B" w:rsidRDefault="00F6656B" w:rsidP="00606F4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РП 5. </w:t>
      </w:r>
      <w:r w:rsidR="00404EBC" w:rsidRPr="00EE621C">
        <w:rPr>
          <w:rFonts w:ascii="Times New Roman" w:hAnsi="Times New Roman"/>
          <w:b/>
          <w:bCs/>
          <w:sz w:val="24"/>
          <w:szCs w:val="24"/>
        </w:rPr>
        <w:t>Създаване на банка от задачи и казуси за външно оценяване</w:t>
      </w:r>
    </w:p>
    <w:p w14:paraId="2E262EF1" w14:textId="7F3B8811" w:rsidR="00404EBC" w:rsidRDefault="00404EBC" w:rsidP="00606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РП 6. </w:t>
      </w:r>
      <w:r w:rsidR="00F223D6" w:rsidRPr="009D66D6">
        <w:rPr>
          <w:rFonts w:ascii="Times New Roman" w:hAnsi="Times New Roman"/>
          <w:b/>
          <w:bCs/>
          <w:sz w:val="24"/>
          <w:szCs w:val="24"/>
        </w:rPr>
        <w:t>Обучения, отворени за участие от всички училища в страната</w:t>
      </w:r>
    </w:p>
    <w:p w14:paraId="3B920DD2" w14:textId="0DF48499" w:rsidR="00BA35F5" w:rsidRPr="009F251A" w:rsidRDefault="00FF35A8" w:rsidP="00CD7514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 xml:space="preserve">Допустимите разходи за тези </w:t>
      </w:r>
      <w:r w:rsidR="005D4921">
        <w:rPr>
          <w:rFonts w:ascii="Times New Roman" w:hAnsi="Times New Roman"/>
          <w:sz w:val="24"/>
          <w:szCs w:val="24"/>
        </w:rPr>
        <w:t>работни пакети</w:t>
      </w:r>
      <w:r w:rsidR="005D4921" w:rsidRPr="009F251A">
        <w:rPr>
          <w:rFonts w:ascii="Times New Roman" w:hAnsi="Times New Roman"/>
          <w:sz w:val="24"/>
          <w:szCs w:val="24"/>
        </w:rPr>
        <w:t xml:space="preserve"> </w:t>
      </w:r>
      <w:r w:rsidR="003F0528" w:rsidRPr="009F251A">
        <w:rPr>
          <w:rFonts w:ascii="Times New Roman" w:hAnsi="Times New Roman"/>
          <w:sz w:val="24"/>
          <w:szCs w:val="24"/>
        </w:rPr>
        <w:t>се</w:t>
      </w:r>
      <w:r w:rsidRPr="009F251A">
        <w:rPr>
          <w:rFonts w:ascii="Times New Roman" w:hAnsi="Times New Roman"/>
          <w:sz w:val="24"/>
          <w:szCs w:val="24"/>
        </w:rPr>
        <w:t xml:space="preserve"> </w:t>
      </w:r>
      <w:r w:rsidR="003F0528" w:rsidRPr="009F251A">
        <w:rPr>
          <w:rFonts w:ascii="Times New Roman" w:hAnsi="Times New Roman"/>
          <w:sz w:val="24"/>
          <w:szCs w:val="24"/>
        </w:rPr>
        <w:t xml:space="preserve">определят </w:t>
      </w:r>
      <w:r w:rsidR="005E55A0" w:rsidRPr="009F251A">
        <w:rPr>
          <w:rFonts w:ascii="Times New Roman" w:hAnsi="Times New Roman"/>
          <w:sz w:val="24"/>
          <w:szCs w:val="24"/>
        </w:rPr>
        <w:t xml:space="preserve">чрез прилагане на </w:t>
      </w:r>
      <w:r w:rsidR="006C3F59" w:rsidRPr="009F251A">
        <w:rPr>
          <w:rFonts w:ascii="Times New Roman" w:hAnsi="Times New Roman"/>
          <w:sz w:val="24"/>
          <w:szCs w:val="24"/>
        </w:rPr>
        <w:t xml:space="preserve">таблица на </w:t>
      </w:r>
      <w:r w:rsidR="00A66CEF" w:rsidRPr="009F251A">
        <w:rPr>
          <w:rFonts w:ascii="Times New Roman" w:hAnsi="Times New Roman"/>
          <w:sz w:val="24"/>
          <w:szCs w:val="24"/>
        </w:rPr>
        <w:t xml:space="preserve">единичните </w:t>
      </w:r>
      <w:r w:rsidR="006C3F59" w:rsidRPr="009F251A">
        <w:rPr>
          <w:rFonts w:ascii="Times New Roman" w:hAnsi="Times New Roman"/>
          <w:sz w:val="24"/>
          <w:szCs w:val="24"/>
        </w:rPr>
        <w:t>разходи</w:t>
      </w:r>
      <w:r w:rsidR="005E55A0" w:rsidRPr="009F251A">
        <w:rPr>
          <w:rFonts w:ascii="Times New Roman" w:hAnsi="Times New Roman"/>
          <w:sz w:val="24"/>
          <w:szCs w:val="24"/>
        </w:rPr>
        <w:t xml:space="preserve"> </w:t>
      </w:r>
      <w:r w:rsidR="003A2852" w:rsidRPr="009F251A">
        <w:rPr>
          <w:rFonts w:ascii="Times New Roman" w:hAnsi="Times New Roman"/>
          <w:sz w:val="24"/>
          <w:szCs w:val="24"/>
        </w:rPr>
        <w:t xml:space="preserve">и еднократни суми </w:t>
      </w:r>
      <w:r w:rsidR="005E55A0" w:rsidRPr="009F251A">
        <w:rPr>
          <w:rFonts w:ascii="Times New Roman" w:hAnsi="Times New Roman"/>
          <w:sz w:val="24"/>
          <w:szCs w:val="24"/>
        </w:rPr>
        <w:t xml:space="preserve">в съответствие с </w:t>
      </w:r>
      <w:r w:rsidR="006C3F59" w:rsidRPr="009F251A">
        <w:rPr>
          <w:rFonts w:ascii="Times New Roman" w:hAnsi="Times New Roman"/>
          <w:sz w:val="24"/>
          <w:szCs w:val="24"/>
        </w:rPr>
        <w:t xml:space="preserve">член </w:t>
      </w:r>
      <w:r w:rsidR="00AF20A6" w:rsidRPr="009F251A">
        <w:rPr>
          <w:rFonts w:ascii="Times New Roman" w:hAnsi="Times New Roman"/>
          <w:sz w:val="24"/>
          <w:szCs w:val="24"/>
        </w:rPr>
        <w:t>53</w:t>
      </w:r>
      <w:r w:rsidR="006C3F59" w:rsidRPr="009F251A">
        <w:rPr>
          <w:rFonts w:ascii="Times New Roman" w:hAnsi="Times New Roman"/>
          <w:sz w:val="24"/>
          <w:szCs w:val="24"/>
        </w:rPr>
        <w:t>, параграф 1, буква б)</w:t>
      </w:r>
      <w:r w:rsidR="00F46A90" w:rsidRPr="009F251A">
        <w:rPr>
          <w:rFonts w:ascii="Times New Roman" w:hAnsi="Times New Roman"/>
          <w:sz w:val="24"/>
          <w:szCs w:val="24"/>
        </w:rPr>
        <w:t xml:space="preserve"> и в)</w:t>
      </w:r>
      <w:r w:rsidR="006C3F59" w:rsidRPr="009F251A">
        <w:rPr>
          <w:rFonts w:ascii="Times New Roman" w:hAnsi="Times New Roman"/>
          <w:sz w:val="24"/>
          <w:szCs w:val="24"/>
        </w:rPr>
        <w:t xml:space="preserve"> от Регламент (ЕС) 20</w:t>
      </w:r>
      <w:r w:rsidR="00AF20A6" w:rsidRPr="009F251A">
        <w:rPr>
          <w:rFonts w:ascii="Times New Roman" w:hAnsi="Times New Roman"/>
          <w:sz w:val="24"/>
          <w:szCs w:val="24"/>
        </w:rPr>
        <w:t>21</w:t>
      </w:r>
      <w:r w:rsidR="002B211A">
        <w:rPr>
          <w:rFonts w:ascii="Times New Roman" w:hAnsi="Times New Roman"/>
          <w:sz w:val="24"/>
          <w:szCs w:val="24"/>
        </w:rPr>
        <w:t>/1060</w:t>
      </w:r>
      <w:r w:rsidR="006C3F59" w:rsidRPr="009F251A">
        <w:rPr>
          <w:rFonts w:ascii="Times New Roman" w:hAnsi="Times New Roman"/>
          <w:sz w:val="24"/>
          <w:szCs w:val="24"/>
        </w:rPr>
        <w:t xml:space="preserve"> (съответно чл. 55, ал. 1, т. 2</w:t>
      </w:r>
      <w:r w:rsidR="00F46A90" w:rsidRPr="009F251A">
        <w:rPr>
          <w:rFonts w:ascii="Times New Roman" w:hAnsi="Times New Roman"/>
          <w:sz w:val="24"/>
          <w:szCs w:val="24"/>
        </w:rPr>
        <w:t>-3</w:t>
      </w:r>
      <w:r w:rsidR="006C3F59" w:rsidRPr="009F251A">
        <w:rPr>
          <w:rFonts w:ascii="Times New Roman" w:hAnsi="Times New Roman"/>
          <w:sz w:val="24"/>
          <w:szCs w:val="24"/>
        </w:rPr>
        <w:t xml:space="preserve"> от ЗУСЕ</w:t>
      </w:r>
      <w:r w:rsidR="00AF20A6" w:rsidRPr="009F251A">
        <w:rPr>
          <w:rFonts w:ascii="Times New Roman" w:hAnsi="Times New Roman"/>
          <w:sz w:val="24"/>
          <w:szCs w:val="24"/>
        </w:rPr>
        <w:t>ФСУ</w:t>
      </w:r>
      <w:r w:rsidR="006C3F59" w:rsidRPr="009F251A">
        <w:rPr>
          <w:rFonts w:ascii="Times New Roman" w:hAnsi="Times New Roman"/>
          <w:sz w:val="24"/>
          <w:szCs w:val="24"/>
        </w:rPr>
        <w:t>).</w:t>
      </w:r>
    </w:p>
    <w:p w14:paraId="6D291458" w14:textId="48726841" w:rsidR="009C1262" w:rsidRDefault="009C1262" w:rsidP="00D537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lastRenderedPageBreak/>
        <w:t>Изчисленията на единичните разходи се извършат в съответствие с член 53, параграф 3, буква а) от Регламент (ЕС) 2021</w:t>
      </w:r>
      <w:r w:rsidR="002B211A">
        <w:rPr>
          <w:rFonts w:ascii="Times New Roman" w:hAnsi="Times New Roman"/>
          <w:sz w:val="24"/>
          <w:szCs w:val="24"/>
        </w:rPr>
        <w:t>/1060</w:t>
      </w:r>
      <w:r w:rsidRPr="009F251A">
        <w:rPr>
          <w:rFonts w:ascii="Times New Roman" w:hAnsi="Times New Roman"/>
          <w:sz w:val="24"/>
          <w:szCs w:val="24"/>
        </w:rPr>
        <w:t xml:space="preserve">, т.е. чрез прилагане на </w:t>
      </w:r>
      <w:r w:rsidRPr="009F251A">
        <w:rPr>
          <w:rFonts w:ascii="Times New Roman" w:hAnsi="Times New Roman"/>
          <w:b/>
          <w:sz w:val="24"/>
          <w:szCs w:val="24"/>
        </w:rPr>
        <w:t>коректен, справедлив и проверим метод на изчисление</w:t>
      </w:r>
      <w:r w:rsidRPr="009F251A">
        <w:rPr>
          <w:rFonts w:ascii="Times New Roman" w:hAnsi="Times New Roman"/>
          <w:sz w:val="24"/>
          <w:szCs w:val="24"/>
        </w:rPr>
        <w:t>. За база на изчисленията се използват статистически данни</w:t>
      </w:r>
      <w:r w:rsidR="00C944D9">
        <w:rPr>
          <w:rFonts w:ascii="Times New Roman" w:hAnsi="Times New Roman"/>
          <w:sz w:val="24"/>
          <w:szCs w:val="24"/>
        </w:rPr>
        <w:t>,</w:t>
      </w:r>
      <w:r w:rsidRPr="009F251A">
        <w:rPr>
          <w:rFonts w:ascii="Times New Roman" w:hAnsi="Times New Roman"/>
          <w:sz w:val="24"/>
          <w:szCs w:val="24"/>
        </w:rPr>
        <w:t xml:space="preserve"> друга обективна информация</w:t>
      </w:r>
      <w:r w:rsidR="00C944D9">
        <w:rPr>
          <w:rFonts w:ascii="Times New Roman" w:hAnsi="Times New Roman"/>
          <w:sz w:val="24"/>
          <w:szCs w:val="24"/>
        </w:rPr>
        <w:t xml:space="preserve"> или експертна оценка</w:t>
      </w:r>
      <w:r w:rsidRPr="009F251A">
        <w:rPr>
          <w:rFonts w:ascii="Times New Roman" w:hAnsi="Times New Roman"/>
          <w:sz w:val="24"/>
          <w:szCs w:val="24"/>
        </w:rPr>
        <w:t>, обобщаваща изпълнението на сходни процедури за програмен период 2014-2020 г., както и прилагането на обичайните практики за осчетоводяване на разходите на отделните бенефициенти.</w:t>
      </w:r>
    </w:p>
    <w:p w14:paraId="32A246B0" w14:textId="3BA0EA9A" w:rsidR="00E5085C" w:rsidRPr="009F251A" w:rsidRDefault="00FF3232" w:rsidP="00D537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Отчитайки</w:t>
      </w:r>
      <w:r w:rsidR="00E5085C" w:rsidRPr="009F251A">
        <w:rPr>
          <w:rFonts w:ascii="Times New Roman" w:hAnsi="Times New Roman"/>
          <w:sz w:val="24"/>
          <w:szCs w:val="24"/>
        </w:rPr>
        <w:t>, че настоящата процедура ще стартира през</w:t>
      </w:r>
      <w:r>
        <w:rPr>
          <w:rFonts w:ascii="Times New Roman" w:hAnsi="Times New Roman"/>
          <w:sz w:val="24"/>
          <w:szCs w:val="24"/>
        </w:rPr>
        <w:t xml:space="preserve"> </w:t>
      </w:r>
      <w:r w:rsidR="00E5085C" w:rsidRPr="009F251A">
        <w:rPr>
          <w:rFonts w:ascii="Times New Roman" w:hAnsi="Times New Roman"/>
          <w:sz w:val="24"/>
          <w:szCs w:val="24"/>
        </w:rPr>
        <w:t xml:space="preserve">учебната </w:t>
      </w:r>
      <w:r w:rsidR="008728B5" w:rsidRPr="009F251A">
        <w:rPr>
          <w:rFonts w:ascii="Times New Roman" w:hAnsi="Times New Roman"/>
          <w:sz w:val="24"/>
          <w:szCs w:val="24"/>
        </w:rPr>
        <w:t>202</w:t>
      </w:r>
      <w:r w:rsidR="008728B5">
        <w:rPr>
          <w:rFonts w:ascii="Times New Roman" w:hAnsi="Times New Roman"/>
          <w:sz w:val="24"/>
          <w:szCs w:val="24"/>
        </w:rPr>
        <w:t>5</w:t>
      </w:r>
      <w:r w:rsidR="00E5085C" w:rsidRPr="009F251A">
        <w:rPr>
          <w:rFonts w:ascii="Times New Roman" w:hAnsi="Times New Roman"/>
          <w:sz w:val="24"/>
          <w:szCs w:val="24"/>
        </w:rPr>
        <w:t>/202</w:t>
      </w:r>
      <w:r w:rsidR="008728B5">
        <w:rPr>
          <w:rFonts w:ascii="Times New Roman" w:hAnsi="Times New Roman"/>
          <w:sz w:val="24"/>
          <w:szCs w:val="24"/>
        </w:rPr>
        <w:t>6</w:t>
      </w:r>
      <w:r w:rsidR="00E5085C" w:rsidRPr="009F251A">
        <w:rPr>
          <w:rFonts w:ascii="Times New Roman" w:hAnsi="Times New Roman"/>
          <w:sz w:val="24"/>
          <w:szCs w:val="24"/>
        </w:rPr>
        <w:t xml:space="preserve"> г. и е с продължителност от </w:t>
      </w:r>
      <w:r w:rsidR="00CA4A5C">
        <w:rPr>
          <w:rFonts w:ascii="Times New Roman" w:hAnsi="Times New Roman"/>
          <w:sz w:val="24"/>
          <w:szCs w:val="24"/>
        </w:rPr>
        <w:t>4</w:t>
      </w:r>
      <w:r w:rsidR="00CA4A5C" w:rsidRPr="009F251A">
        <w:rPr>
          <w:rFonts w:ascii="Times New Roman" w:hAnsi="Times New Roman"/>
          <w:sz w:val="24"/>
          <w:szCs w:val="24"/>
        </w:rPr>
        <w:t xml:space="preserve"> </w:t>
      </w:r>
      <w:r w:rsidR="00E5085C" w:rsidRPr="009F251A">
        <w:rPr>
          <w:rFonts w:ascii="Times New Roman" w:hAnsi="Times New Roman"/>
          <w:sz w:val="24"/>
          <w:szCs w:val="24"/>
        </w:rPr>
        <w:t xml:space="preserve">години, е необходимо да се разпише и процедура за периодично актуализиране на прилаганите единични разходи. </w:t>
      </w:r>
    </w:p>
    <w:p w14:paraId="379B3825" w14:textId="083F8E3F" w:rsidR="00DD2C4C" w:rsidRDefault="006F3DA8" w:rsidP="00D537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5E51AA09">
        <w:rPr>
          <w:rFonts w:ascii="Times New Roman" w:hAnsi="Times New Roman"/>
          <w:sz w:val="24"/>
          <w:szCs w:val="24"/>
        </w:rPr>
        <w:t xml:space="preserve">Съгласно Условията за кандидатстване по процедурата се предвижда изпълнението на </w:t>
      </w:r>
      <w:r w:rsidR="003447B2">
        <w:rPr>
          <w:rFonts w:ascii="Times New Roman" w:hAnsi="Times New Roman"/>
          <w:sz w:val="24"/>
          <w:szCs w:val="24"/>
        </w:rPr>
        <w:t>основната част от проекта (</w:t>
      </w:r>
      <w:r w:rsidRPr="5E51AA09">
        <w:rPr>
          <w:rFonts w:ascii="Times New Roman" w:hAnsi="Times New Roman"/>
          <w:sz w:val="24"/>
          <w:szCs w:val="24"/>
        </w:rPr>
        <w:t>Дейност</w:t>
      </w:r>
      <w:r w:rsidR="00CA4C3E">
        <w:rPr>
          <w:rFonts w:ascii="Times New Roman" w:hAnsi="Times New Roman"/>
          <w:sz w:val="24"/>
          <w:szCs w:val="24"/>
        </w:rPr>
        <w:t xml:space="preserve"> </w:t>
      </w:r>
      <w:r w:rsidRPr="5E51AA09">
        <w:rPr>
          <w:rFonts w:ascii="Times New Roman" w:hAnsi="Times New Roman"/>
          <w:sz w:val="24"/>
          <w:szCs w:val="24"/>
        </w:rPr>
        <w:t xml:space="preserve">1, Дейност </w:t>
      </w:r>
      <w:r w:rsidR="006A259D">
        <w:rPr>
          <w:rFonts w:ascii="Times New Roman" w:hAnsi="Times New Roman"/>
          <w:sz w:val="24"/>
          <w:szCs w:val="24"/>
        </w:rPr>
        <w:t>4</w:t>
      </w:r>
      <w:r w:rsidR="006A259D" w:rsidRPr="5E51AA09">
        <w:rPr>
          <w:rFonts w:ascii="Times New Roman" w:hAnsi="Times New Roman"/>
          <w:sz w:val="24"/>
          <w:szCs w:val="24"/>
        </w:rPr>
        <w:t xml:space="preserve"> </w:t>
      </w:r>
      <w:r w:rsidRPr="5E51AA09">
        <w:rPr>
          <w:rFonts w:ascii="Times New Roman" w:hAnsi="Times New Roman"/>
          <w:sz w:val="24"/>
          <w:szCs w:val="24"/>
        </w:rPr>
        <w:t xml:space="preserve">и </w:t>
      </w:r>
      <w:r w:rsidR="006A259D">
        <w:rPr>
          <w:rFonts w:ascii="Times New Roman" w:hAnsi="Times New Roman"/>
          <w:sz w:val="24"/>
          <w:szCs w:val="24"/>
        </w:rPr>
        <w:t xml:space="preserve">част от </w:t>
      </w:r>
      <w:r w:rsidRPr="5E51AA09">
        <w:rPr>
          <w:rFonts w:ascii="Times New Roman" w:hAnsi="Times New Roman"/>
          <w:sz w:val="24"/>
          <w:szCs w:val="24"/>
        </w:rPr>
        <w:t xml:space="preserve">Дейност </w:t>
      </w:r>
      <w:r w:rsidR="006A259D">
        <w:rPr>
          <w:rFonts w:ascii="Times New Roman" w:hAnsi="Times New Roman"/>
          <w:sz w:val="24"/>
          <w:szCs w:val="24"/>
        </w:rPr>
        <w:t>3</w:t>
      </w:r>
      <w:r w:rsidR="003447B2">
        <w:rPr>
          <w:rFonts w:ascii="Times New Roman" w:hAnsi="Times New Roman"/>
          <w:sz w:val="24"/>
          <w:szCs w:val="24"/>
        </w:rPr>
        <w:t>)</w:t>
      </w:r>
      <w:r w:rsidR="006A259D" w:rsidRPr="5E51AA09">
        <w:rPr>
          <w:rFonts w:ascii="Times New Roman" w:hAnsi="Times New Roman"/>
          <w:sz w:val="24"/>
          <w:szCs w:val="24"/>
        </w:rPr>
        <w:t xml:space="preserve"> </w:t>
      </w:r>
      <w:r w:rsidRPr="5E51AA09">
        <w:rPr>
          <w:rFonts w:ascii="Times New Roman" w:hAnsi="Times New Roman"/>
          <w:sz w:val="24"/>
          <w:szCs w:val="24"/>
        </w:rPr>
        <w:t>да бъд</w:t>
      </w:r>
      <w:r w:rsidR="00CA4C3E">
        <w:rPr>
          <w:rFonts w:ascii="Times New Roman" w:hAnsi="Times New Roman"/>
          <w:sz w:val="24"/>
          <w:szCs w:val="24"/>
        </w:rPr>
        <w:t xml:space="preserve">е организирано в </w:t>
      </w:r>
      <w:r w:rsidR="00827EFB">
        <w:rPr>
          <w:rFonts w:ascii="Times New Roman" w:hAnsi="Times New Roman"/>
          <w:sz w:val="24"/>
          <w:szCs w:val="24"/>
        </w:rPr>
        <w:t xml:space="preserve">два </w:t>
      </w:r>
      <w:r w:rsidR="00E56C52">
        <w:rPr>
          <w:rFonts w:ascii="Times New Roman" w:hAnsi="Times New Roman"/>
          <w:sz w:val="24"/>
          <w:szCs w:val="24"/>
        </w:rPr>
        <w:t>работни пакети</w:t>
      </w:r>
      <w:r w:rsidR="00C77EE1">
        <w:rPr>
          <w:rFonts w:ascii="Times New Roman" w:hAnsi="Times New Roman"/>
          <w:sz w:val="24"/>
          <w:szCs w:val="24"/>
        </w:rPr>
        <w:t xml:space="preserve"> (РП 1 и </w:t>
      </w:r>
      <w:r w:rsidR="00C502C3">
        <w:rPr>
          <w:rFonts w:ascii="Times New Roman" w:hAnsi="Times New Roman"/>
          <w:sz w:val="24"/>
          <w:szCs w:val="24"/>
        </w:rPr>
        <w:t xml:space="preserve">типов </w:t>
      </w:r>
      <w:r w:rsidR="00C77EE1">
        <w:rPr>
          <w:rFonts w:ascii="Times New Roman" w:hAnsi="Times New Roman"/>
          <w:sz w:val="24"/>
          <w:szCs w:val="24"/>
        </w:rPr>
        <w:t>РП 2)</w:t>
      </w:r>
      <w:r w:rsidR="00A91E07">
        <w:rPr>
          <w:rFonts w:ascii="Times New Roman" w:hAnsi="Times New Roman"/>
          <w:sz w:val="24"/>
          <w:szCs w:val="24"/>
        </w:rPr>
        <w:t>, които се изпълняват от различни юридически лица</w:t>
      </w:r>
      <w:r w:rsidR="0065079E">
        <w:rPr>
          <w:rFonts w:ascii="Times New Roman" w:hAnsi="Times New Roman"/>
          <w:sz w:val="24"/>
          <w:szCs w:val="24"/>
        </w:rPr>
        <w:t xml:space="preserve"> </w:t>
      </w:r>
      <w:r w:rsidR="00BC4289">
        <w:rPr>
          <w:rFonts w:ascii="Times New Roman" w:hAnsi="Times New Roman"/>
          <w:sz w:val="24"/>
          <w:szCs w:val="24"/>
        </w:rPr>
        <w:t>(</w:t>
      </w:r>
      <w:r w:rsidR="00134C3E">
        <w:rPr>
          <w:rFonts w:ascii="Times New Roman" w:hAnsi="Times New Roman"/>
          <w:sz w:val="24"/>
          <w:szCs w:val="24"/>
        </w:rPr>
        <w:t xml:space="preserve">КБ-МОН за РП 1 и участващите училища за РП 2) </w:t>
      </w:r>
      <w:r w:rsidR="0065079E">
        <w:rPr>
          <w:rFonts w:ascii="Times New Roman" w:hAnsi="Times New Roman"/>
          <w:sz w:val="24"/>
          <w:szCs w:val="24"/>
        </w:rPr>
        <w:t xml:space="preserve">и </w:t>
      </w:r>
      <w:r w:rsidR="00EA164C">
        <w:rPr>
          <w:rFonts w:ascii="Times New Roman" w:hAnsi="Times New Roman"/>
          <w:sz w:val="24"/>
          <w:szCs w:val="24"/>
        </w:rPr>
        <w:t>следва да постигнат предварително зададен</w:t>
      </w:r>
      <w:r w:rsidR="00BD21C3">
        <w:rPr>
          <w:rFonts w:ascii="Times New Roman" w:hAnsi="Times New Roman"/>
          <w:sz w:val="24"/>
          <w:szCs w:val="24"/>
        </w:rPr>
        <w:t>и</w:t>
      </w:r>
      <w:r w:rsidR="00EA164C">
        <w:rPr>
          <w:rFonts w:ascii="Times New Roman" w:hAnsi="Times New Roman"/>
          <w:sz w:val="24"/>
          <w:szCs w:val="24"/>
        </w:rPr>
        <w:t xml:space="preserve"> </w:t>
      </w:r>
      <w:r w:rsidR="00BA0CCD">
        <w:rPr>
          <w:rFonts w:ascii="Times New Roman" w:hAnsi="Times New Roman"/>
          <w:sz w:val="24"/>
          <w:szCs w:val="24"/>
        </w:rPr>
        <w:t>минимални стойности на крайни продукти</w:t>
      </w:r>
      <w:r w:rsidR="007E33F0">
        <w:rPr>
          <w:rFonts w:ascii="Times New Roman" w:hAnsi="Times New Roman"/>
          <w:sz w:val="24"/>
          <w:szCs w:val="24"/>
        </w:rPr>
        <w:t xml:space="preserve"> –</w:t>
      </w:r>
      <w:r w:rsidR="007E33F0" w:rsidRPr="5E51AA09">
        <w:rPr>
          <w:rFonts w:ascii="Times New Roman" w:hAnsi="Times New Roman"/>
          <w:sz w:val="24"/>
          <w:szCs w:val="24"/>
        </w:rPr>
        <w:t xml:space="preserve"> </w:t>
      </w:r>
      <w:r w:rsidR="00D50977">
        <w:rPr>
          <w:rFonts w:ascii="Times New Roman" w:hAnsi="Times New Roman"/>
          <w:sz w:val="24"/>
          <w:szCs w:val="24"/>
        </w:rPr>
        <w:t xml:space="preserve">създадена </w:t>
      </w:r>
      <w:r w:rsidR="007E33F0" w:rsidRPr="5E51AA09">
        <w:rPr>
          <w:rFonts w:ascii="Times New Roman" w:hAnsi="Times New Roman"/>
          <w:sz w:val="24"/>
          <w:szCs w:val="24"/>
        </w:rPr>
        <w:t>учебна документация и образователни ресурси, чрез които в училищата да започне ефективно да се прилага компетентностният модел</w:t>
      </w:r>
      <w:r w:rsidR="007E33F0">
        <w:rPr>
          <w:rFonts w:ascii="Times New Roman" w:hAnsi="Times New Roman"/>
          <w:sz w:val="24"/>
          <w:szCs w:val="24"/>
        </w:rPr>
        <w:t xml:space="preserve">; </w:t>
      </w:r>
      <w:r w:rsidR="00856739" w:rsidRPr="00856739">
        <w:rPr>
          <w:rFonts w:ascii="Times New Roman" w:hAnsi="Times New Roman"/>
          <w:sz w:val="24"/>
          <w:szCs w:val="24"/>
        </w:rPr>
        <w:t>обучение и продължаваща подкрепа на менторите</w:t>
      </w:r>
      <w:r w:rsidR="00856739">
        <w:rPr>
          <w:rFonts w:ascii="Times New Roman" w:hAnsi="Times New Roman"/>
          <w:sz w:val="24"/>
          <w:szCs w:val="24"/>
        </w:rPr>
        <w:t>;</w:t>
      </w:r>
      <w:r w:rsidR="00856739" w:rsidRPr="00856739">
        <w:rPr>
          <w:rFonts w:ascii="Times New Roman" w:hAnsi="Times New Roman"/>
          <w:sz w:val="24"/>
          <w:szCs w:val="24"/>
        </w:rPr>
        <w:t xml:space="preserve"> </w:t>
      </w:r>
      <w:r w:rsidR="00BF494B">
        <w:rPr>
          <w:rFonts w:ascii="Times New Roman" w:hAnsi="Times New Roman"/>
          <w:sz w:val="24"/>
          <w:szCs w:val="24"/>
        </w:rPr>
        <w:t xml:space="preserve">разработване и изпълнение на МПРКК </w:t>
      </w:r>
      <w:r w:rsidR="00666E4C">
        <w:rPr>
          <w:rFonts w:ascii="Times New Roman" w:hAnsi="Times New Roman"/>
          <w:sz w:val="24"/>
          <w:szCs w:val="24"/>
        </w:rPr>
        <w:t xml:space="preserve">в училищата </w:t>
      </w:r>
      <w:r w:rsidR="00E03C70">
        <w:rPr>
          <w:rFonts w:ascii="Times New Roman" w:hAnsi="Times New Roman"/>
          <w:sz w:val="24"/>
          <w:szCs w:val="24"/>
        </w:rPr>
        <w:t>и т.н.</w:t>
      </w:r>
      <w:r w:rsidR="00E56C52">
        <w:rPr>
          <w:rFonts w:ascii="Times New Roman" w:hAnsi="Times New Roman"/>
          <w:sz w:val="24"/>
          <w:szCs w:val="24"/>
        </w:rPr>
        <w:t xml:space="preserve"> </w:t>
      </w:r>
    </w:p>
    <w:p w14:paraId="25A0E5A3" w14:textId="1E8DA749" w:rsidR="006F3DA8" w:rsidRDefault="006F3DA8" w:rsidP="00D537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5E51AA09">
        <w:rPr>
          <w:rFonts w:ascii="Times New Roman" w:hAnsi="Times New Roman"/>
          <w:sz w:val="24"/>
          <w:szCs w:val="24"/>
        </w:rPr>
        <w:t xml:space="preserve">Основният разход при </w:t>
      </w:r>
      <w:r w:rsidR="00946F70">
        <w:rPr>
          <w:rFonts w:ascii="Times New Roman" w:hAnsi="Times New Roman"/>
          <w:sz w:val="24"/>
          <w:szCs w:val="24"/>
        </w:rPr>
        <w:t xml:space="preserve">изпълнението на </w:t>
      </w:r>
      <w:r w:rsidR="00062B02">
        <w:rPr>
          <w:rFonts w:ascii="Times New Roman" w:hAnsi="Times New Roman"/>
          <w:sz w:val="24"/>
          <w:szCs w:val="24"/>
        </w:rPr>
        <w:t xml:space="preserve">горепосочените </w:t>
      </w:r>
      <w:r w:rsidR="00946F70">
        <w:rPr>
          <w:rFonts w:ascii="Times New Roman" w:hAnsi="Times New Roman"/>
          <w:sz w:val="24"/>
          <w:szCs w:val="24"/>
        </w:rPr>
        <w:t>работни пакети</w:t>
      </w:r>
      <w:r w:rsidRPr="5E51AA09">
        <w:rPr>
          <w:rFonts w:ascii="Times New Roman" w:hAnsi="Times New Roman"/>
          <w:sz w:val="24"/>
          <w:szCs w:val="24"/>
        </w:rPr>
        <w:t xml:space="preserve"> е свързан със заплащането на възнаграждения на педагогическите специалисти</w:t>
      </w:r>
      <w:r w:rsidR="007F7662">
        <w:rPr>
          <w:rFonts w:ascii="Times New Roman" w:hAnsi="Times New Roman"/>
          <w:sz w:val="24"/>
          <w:szCs w:val="24"/>
        </w:rPr>
        <w:t>, менторите</w:t>
      </w:r>
      <w:r w:rsidRPr="5E51AA09">
        <w:rPr>
          <w:rFonts w:ascii="Times New Roman" w:hAnsi="Times New Roman"/>
          <w:sz w:val="24"/>
          <w:szCs w:val="24"/>
        </w:rPr>
        <w:t xml:space="preserve"> и други образователни експерти. Освен това е необходимо да се предвидят допълнителни разходи – режийни разходи за </w:t>
      </w:r>
      <w:r w:rsidRPr="5E51AA09">
        <w:rPr>
          <w:rFonts w:ascii="Times New Roman" w:eastAsia="SimSun" w:hAnsi="Times New Roman"/>
          <w:sz w:val="24"/>
          <w:szCs w:val="24"/>
          <w:lang w:eastAsia="bg-BG"/>
        </w:rPr>
        <w:t>Професионалните учещи се общности</w:t>
      </w:r>
      <w:r w:rsidRPr="5E51AA09">
        <w:rPr>
          <w:rFonts w:ascii="Times New Roman" w:hAnsi="Times New Roman"/>
          <w:sz w:val="24"/>
          <w:szCs w:val="24"/>
        </w:rPr>
        <w:t xml:space="preserve">, разходи за провеждане на работни срещи, материали и консумативи, транспорт, освежителни напитки, </w:t>
      </w:r>
      <w:r w:rsidR="00466A2A">
        <w:rPr>
          <w:rFonts w:ascii="Times New Roman" w:hAnsi="Times New Roman"/>
          <w:sz w:val="24"/>
          <w:szCs w:val="24"/>
        </w:rPr>
        <w:t>надбавки за участниците</w:t>
      </w:r>
      <w:r w:rsidR="00466A2A" w:rsidRPr="5E51AA09">
        <w:rPr>
          <w:rFonts w:ascii="Times New Roman" w:hAnsi="Times New Roman"/>
          <w:sz w:val="24"/>
          <w:szCs w:val="24"/>
        </w:rPr>
        <w:t xml:space="preserve"> </w:t>
      </w:r>
      <w:r w:rsidR="00466A2A">
        <w:rPr>
          <w:rFonts w:ascii="Times New Roman" w:hAnsi="Times New Roman"/>
          <w:sz w:val="24"/>
          <w:szCs w:val="24"/>
        </w:rPr>
        <w:t xml:space="preserve">в обучения </w:t>
      </w:r>
      <w:r w:rsidRPr="5E51AA09">
        <w:rPr>
          <w:rFonts w:ascii="Times New Roman" w:hAnsi="Times New Roman"/>
          <w:sz w:val="24"/>
          <w:szCs w:val="24"/>
        </w:rPr>
        <w:t xml:space="preserve">и т.н. </w:t>
      </w:r>
    </w:p>
    <w:p w14:paraId="2C9D2462" w14:textId="4B9E84B2" w:rsidR="006F3DA8" w:rsidRDefault="0061330E" w:rsidP="00CD7514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 да се осигури финансиране за р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азнообразни</w:t>
      </w:r>
      <w:r w:rsidR="00200EAD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съпътстващи дейности, </w:t>
      </w:r>
      <w:r w:rsidR="00200EA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включени в работните пакети, 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определяне на </w:t>
      </w:r>
      <w:r w:rsidR="00C329C5">
        <w:rPr>
          <w:rFonts w:ascii="Times New Roman" w:eastAsia="Times New Roman" w:hAnsi="Times New Roman"/>
          <w:color w:val="000000" w:themeColor="text1"/>
          <w:sz w:val="24"/>
          <w:szCs w:val="24"/>
        </w:rPr>
        <w:t>допустимите разходи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</w:t>
      </w:r>
      <w:r w:rsidR="00DD0C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изпълнение на работните пакети </w:t>
      </w:r>
      <w:r w:rsidR="002948E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 и 2 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ще се приложи подходът, описан в чл. 56, параграф 1</w:t>
      </w:r>
      <w:r w:rsidR="00440A86">
        <w:rPr>
          <w:rFonts w:ascii="Times New Roman" w:eastAsia="Times New Roman" w:hAnsi="Times New Roman"/>
          <w:color w:val="000000" w:themeColor="text1"/>
          <w:sz w:val="24"/>
          <w:szCs w:val="24"/>
        </w:rPr>
        <w:t>-2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Регламент (ЕС) 2021/1060, както следва:</w:t>
      </w:r>
    </w:p>
    <w:p w14:paraId="23899A4C" w14:textId="6D332365" w:rsidR="006F3DA8" w:rsidRDefault="006F3DA8" w:rsidP="00267113">
      <w:pPr>
        <w:pStyle w:val="ListParagraph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Ще се определи необходимата сума за възнаграждения на основния екип от </w:t>
      </w:r>
      <w:r w:rsidR="00780939">
        <w:rPr>
          <w:rFonts w:ascii="Times New Roman" w:eastAsia="Times New Roman" w:hAnsi="Times New Roman"/>
          <w:color w:val="000000" w:themeColor="text1"/>
          <w:sz w:val="24"/>
          <w:szCs w:val="24"/>
        </w:rPr>
        <w:t>експерти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който ще </w:t>
      </w:r>
      <w:r w:rsidR="00D46C12">
        <w:rPr>
          <w:rFonts w:ascii="Times New Roman" w:eastAsia="Times New Roman" w:hAnsi="Times New Roman"/>
          <w:color w:val="000000" w:themeColor="text1"/>
          <w:sz w:val="24"/>
          <w:szCs w:val="24"/>
        </w:rPr>
        <w:t>изпълнява</w:t>
      </w:r>
      <w:r w:rsidR="00D46C12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съответният </w:t>
      </w:r>
      <w:r w:rsidR="00D46C12">
        <w:rPr>
          <w:rFonts w:ascii="Times New Roman" w:eastAsia="Times New Roman" w:hAnsi="Times New Roman"/>
          <w:color w:val="000000" w:themeColor="text1"/>
          <w:sz w:val="24"/>
          <w:szCs w:val="24"/>
        </w:rPr>
        <w:t>работен пакет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70F10F27" w14:textId="10071B27" w:rsidR="006F3DA8" w:rsidRDefault="006F3DA8" w:rsidP="00267113">
      <w:pPr>
        <w:pStyle w:val="ListParagraph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Към определената сума за възнаграждения на основния екип ще се приложи единна ставка от 40 %, с което ще се определят другите допустими преки и непреки разходи за </w:t>
      </w:r>
      <w:r w:rsidR="00D46C1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изпълняване 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съответния </w:t>
      </w:r>
      <w:r w:rsidR="00D46C12">
        <w:rPr>
          <w:rFonts w:ascii="Times New Roman" w:eastAsia="Times New Roman" w:hAnsi="Times New Roman"/>
          <w:color w:val="000000" w:themeColor="text1"/>
          <w:sz w:val="24"/>
          <w:szCs w:val="24"/>
        </w:rPr>
        <w:t>работен пакет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</w:p>
    <w:p w14:paraId="5B22F4E7" w14:textId="3596930C" w:rsidR="00545B70" w:rsidRDefault="0094367E" w:rsidP="00267113">
      <w:pPr>
        <w:pStyle w:val="ListParagraph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Ще се </w:t>
      </w:r>
      <w:r w:rsidR="00FE42DA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определят разходи за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надбавки за участниците в обученията, ако е приложимо.</w:t>
      </w:r>
    </w:p>
    <w:p w14:paraId="4A541005" w14:textId="67097C57" w:rsidR="004553FB" w:rsidRDefault="004553FB" w:rsidP="00983269">
      <w:pPr>
        <w:spacing w:after="12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Допустимите разходи за </w:t>
      </w:r>
      <w:r w:rsidR="00131B02">
        <w:rPr>
          <w:rFonts w:ascii="Times New Roman" w:eastAsia="Times New Roman" w:hAnsi="Times New Roman"/>
          <w:color w:val="000000" w:themeColor="text1"/>
          <w:sz w:val="24"/>
          <w:szCs w:val="24"/>
        </w:rPr>
        <w:t>останалите работни пакети (</w:t>
      </w:r>
      <w:r w:rsidR="00F22B26">
        <w:rPr>
          <w:rFonts w:ascii="Times New Roman" w:eastAsia="Times New Roman" w:hAnsi="Times New Roman"/>
          <w:color w:val="000000" w:themeColor="text1"/>
          <w:sz w:val="24"/>
          <w:szCs w:val="24"/>
        </w:rPr>
        <w:t>РП 3 – РП 6</w:t>
      </w:r>
      <w:r w:rsidR="00131B02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F22B2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също се определят чрез прилагането на подхода</w:t>
      </w:r>
      <w:r w:rsidR="00A61D69">
        <w:rPr>
          <w:rFonts w:ascii="Times New Roman" w:eastAsia="Times New Roman" w:hAnsi="Times New Roman"/>
          <w:color w:val="000000" w:themeColor="text1"/>
          <w:sz w:val="24"/>
          <w:szCs w:val="24"/>
        </w:rPr>
        <w:t>, описан в</w:t>
      </w:r>
      <w:r w:rsidR="00F22B2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чл. 56 </w:t>
      </w:r>
      <w:r w:rsidR="00A61D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 </w:t>
      </w:r>
      <w:r w:rsidR="00A61D69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 w:rsidR="001A6A2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064EAF">
        <w:rPr>
          <w:rFonts w:ascii="Times New Roman" w:eastAsia="Times New Roman" w:hAnsi="Times New Roman"/>
          <w:color w:val="000000" w:themeColor="text1"/>
          <w:sz w:val="24"/>
          <w:szCs w:val="24"/>
        </w:rPr>
        <w:t>като</w:t>
      </w:r>
      <w:r w:rsidR="002847AE">
        <w:rPr>
          <w:rFonts w:ascii="Times New Roman" w:eastAsia="Times New Roman" w:hAnsi="Times New Roman"/>
          <w:color w:val="000000" w:themeColor="text1"/>
          <w:sz w:val="24"/>
          <w:szCs w:val="24"/>
        </w:rPr>
        <w:t>, поради спецификата на дейностите,</w:t>
      </w:r>
      <w:r w:rsidR="003E0E3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</w:t>
      </w:r>
      <w:r w:rsidR="000E555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възстановяват </w:t>
      </w:r>
      <w:r w:rsidR="005E2A5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допустими</w:t>
      </w:r>
      <w:r w:rsidR="005E2A51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0E555A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разходи за създаден</w:t>
      </w:r>
      <w:r w:rsidR="00E62DE9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и</w:t>
      </w:r>
      <w:r w:rsidR="000E555A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интелектуалн</w:t>
      </w:r>
      <w:r w:rsidR="00E62DE9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и</w:t>
      </w:r>
      <w:r w:rsidR="000E555A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продукт</w:t>
      </w:r>
      <w:r w:rsidR="00E62DE9"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и или проведени обучения.</w:t>
      </w:r>
      <w:r w:rsidR="000E555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A6A2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4BF8184F" w14:textId="4F58DE8B" w:rsidR="00D026AA" w:rsidRDefault="000A7A3D" w:rsidP="00983269">
      <w:pPr>
        <w:spacing w:after="12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При и</w:t>
      </w:r>
      <w:r w:rsidR="009862E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зпълнението на РП 3, РП 4 и РП 5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с</w:t>
      </w:r>
      <w:r w:rsidR="00C25415">
        <w:rPr>
          <w:rFonts w:ascii="Times New Roman" w:eastAsia="Times New Roman" w:hAnsi="Times New Roman"/>
          <w:color w:val="000000" w:themeColor="text1"/>
          <w:sz w:val="24"/>
          <w:szCs w:val="24"/>
        </w:rPr>
        <w:t>е съ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здават </w:t>
      </w:r>
      <w:r w:rsidR="00F85405">
        <w:rPr>
          <w:rFonts w:ascii="Times New Roman" w:eastAsia="Times New Roman" w:hAnsi="Times New Roman"/>
          <w:color w:val="000000" w:themeColor="text1"/>
          <w:sz w:val="24"/>
          <w:szCs w:val="24"/>
        </w:rPr>
        <w:t>няколко вида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интелектуални продукти</w:t>
      </w:r>
      <w:r w:rsidR="00270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431569">
        <w:rPr>
          <w:rFonts w:ascii="Times New Roman" w:eastAsia="Times New Roman" w:hAnsi="Times New Roman"/>
          <w:color w:val="000000" w:themeColor="text1"/>
          <w:sz w:val="24"/>
          <w:szCs w:val="24"/>
        </w:rPr>
        <w:t>за които предварително може да се задад</w:t>
      </w:r>
      <w:r w:rsidR="002B3119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4315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индикатив</w:t>
      </w:r>
      <w:r w:rsidR="002B3119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431569">
        <w:rPr>
          <w:rFonts w:ascii="Times New Roman" w:eastAsia="Times New Roman" w:hAnsi="Times New Roman"/>
          <w:color w:val="000000" w:themeColor="text1"/>
          <w:sz w:val="24"/>
          <w:szCs w:val="24"/>
        </w:rPr>
        <w:t>н</w:t>
      </w:r>
      <w:r w:rsidR="002B311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брой на съответните крайни продукти</w:t>
      </w:r>
      <w:r w:rsidR="00D8018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както и индикативен </w:t>
      </w:r>
      <w:r w:rsidR="001F470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брой на отработените часове </w:t>
      </w:r>
      <w:r w:rsidR="00D742E4">
        <w:rPr>
          <w:rFonts w:ascii="Times New Roman" w:eastAsia="Times New Roman" w:hAnsi="Times New Roman"/>
          <w:color w:val="000000" w:themeColor="text1"/>
          <w:sz w:val="24"/>
          <w:szCs w:val="24"/>
        </w:rPr>
        <w:t>за създаването на съответния интелектуален продукт.</w:t>
      </w:r>
      <w:r w:rsidR="001A1D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511A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Въз основа на </w:t>
      </w:r>
      <w:r w:rsidR="00CB7B0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обоснованите от кандидата </w:t>
      </w:r>
      <w:r w:rsidR="005B6AD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брой отработени часове и брой продукти </w:t>
      </w:r>
      <w:r w:rsidR="001471E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оценителната комисия </w:t>
      </w:r>
      <w:r w:rsidR="003D237D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 бюджет</w:t>
      </w:r>
      <w:r w:rsidR="000374A1">
        <w:rPr>
          <w:rFonts w:ascii="Times New Roman" w:eastAsia="Times New Roman" w:hAnsi="Times New Roman"/>
          <w:color w:val="000000" w:themeColor="text1"/>
          <w:sz w:val="24"/>
          <w:szCs w:val="24"/>
        </w:rPr>
        <w:t>ът</w:t>
      </w:r>
      <w:r w:rsidR="003D237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</w:t>
      </w:r>
      <w:r w:rsidR="004A4A9B">
        <w:rPr>
          <w:rFonts w:ascii="Times New Roman" w:eastAsia="Times New Roman" w:hAnsi="Times New Roman"/>
          <w:color w:val="000000" w:themeColor="text1"/>
          <w:sz w:val="24"/>
          <w:szCs w:val="24"/>
        </w:rPr>
        <w:t>РП 3, РП 4 и РП 5</w:t>
      </w:r>
      <w:r w:rsidR="003D237D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BF292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 изпълнението на проекта за </w:t>
      </w:r>
      <w:r w:rsidR="00D1080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всеки </w:t>
      </w:r>
      <w:r w:rsidR="00C80BA8">
        <w:rPr>
          <w:rFonts w:ascii="Times New Roman" w:eastAsia="Times New Roman" w:hAnsi="Times New Roman"/>
          <w:color w:val="000000" w:themeColor="text1"/>
          <w:sz w:val="24"/>
          <w:szCs w:val="24"/>
        </w:rPr>
        <w:t>верифициран интелектуален продукт (</w:t>
      </w:r>
      <w:r w:rsidR="00DE45D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или </w:t>
      </w:r>
      <w:r w:rsidR="00C80B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група продукти) се възстановява единичен разход, който е изчислен </w:t>
      </w:r>
      <w:r w:rsidR="00012E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въз основа на </w:t>
      </w:r>
      <w:r w:rsidR="003F51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отчетения и верифициран </w:t>
      </w:r>
      <w:r w:rsidR="000D5D69">
        <w:rPr>
          <w:rFonts w:ascii="Times New Roman" w:eastAsia="Times New Roman" w:hAnsi="Times New Roman"/>
          <w:color w:val="000000" w:themeColor="text1"/>
          <w:sz w:val="24"/>
          <w:szCs w:val="24"/>
        </w:rPr>
        <w:t>бро</w:t>
      </w:r>
      <w:r w:rsidR="003F5192">
        <w:rPr>
          <w:rFonts w:ascii="Times New Roman" w:eastAsia="Times New Roman" w:hAnsi="Times New Roman"/>
          <w:color w:val="000000" w:themeColor="text1"/>
          <w:sz w:val="24"/>
          <w:szCs w:val="24"/>
        </w:rPr>
        <w:t>й</w:t>
      </w:r>
      <w:r w:rsidR="000D5D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</w:t>
      </w:r>
      <w:r w:rsidR="00012E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отработените часове от </w:t>
      </w:r>
      <w:r w:rsidR="009874A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наетите </w:t>
      </w:r>
      <w:r w:rsidR="000D5D69">
        <w:rPr>
          <w:rFonts w:ascii="Times New Roman" w:eastAsia="Times New Roman" w:hAnsi="Times New Roman"/>
          <w:color w:val="000000" w:themeColor="text1"/>
          <w:sz w:val="24"/>
          <w:szCs w:val="24"/>
        </w:rPr>
        <w:t>ек</w:t>
      </w:r>
      <w:r w:rsidR="009874AE">
        <w:rPr>
          <w:rFonts w:ascii="Times New Roman" w:eastAsia="Times New Roman" w:hAnsi="Times New Roman"/>
          <w:color w:val="000000" w:themeColor="text1"/>
          <w:sz w:val="24"/>
          <w:szCs w:val="24"/>
        </w:rPr>
        <w:t>сперти.</w:t>
      </w:r>
    </w:p>
    <w:p w14:paraId="2CAF7477" w14:textId="58921724" w:rsidR="0002083D" w:rsidRDefault="00A27A85" w:rsidP="006F3DA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Финансирането на РП 6 се извършва като за </w:t>
      </w:r>
      <w:r w:rsidR="002E7FE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всяко </w:t>
      </w:r>
      <w:r w:rsidR="00CC082E">
        <w:rPr>
          <w:rFonts w:ascii="Times New Roman" w:eastAsia="Times New Roman" w:hAnsi="Times New Roman"/>
          <w:color w:val="000000" w:themeColor="text1"/>
          <w:sz w:val="24"/>
          <w:szCs w:val="24"/>
        </w:rPr>
        <w:t>проведено обучение</w:t>
      </w:r>
      <w:r w:rsidR="002E7FE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възстановява </w:t>
      </w:r>
      <w:r w:rsidR="008C46B3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 w:rsidR="0002083D">
        <w:rPr>
          <w:rFonts w:ascii="Times New Roman" w:eastAsia="Times New Roman" w:hAnsi="Times New Roman"/>
          <w:color w:val="000000" w:themeColor="text1"/>
          <w:sz w:val="24"/>
          <w:szCs w:val="24"/>
        </w:rPr>
        <w:t>, ко</w:t>
      </w:r>
      <w:r w:rsidR="008C46B3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="0002083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то </w:t>
      </w:r>
      <w:r w:rsidR="008C46B3">
        <w:rPr>
          <w:rFonts w:ascii="Times New Roman" w:eastAsia="Times New Roman" w:hAnsi="Times New Roman"/>
          <w:color w:val="000000" w:themeColor="text1"/>
          <w:sz w:val="24"/>
          <w:szCs w:val="24"/>
        </w:rPr>
        <w:t>се</w:t>
      </w:r>
      <w:r w:rsidR="0002083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C46B3">
        <w:rPr>
          <w:rFonts w:ascii="Times New Roman" w:eastAsia="Times New Roman" w:hAnsi="Times New Roman"/>
          <w:color w:val="000000" w:themeColor="text1"/>
          <w:sz w:val="24"/>
          <w:szCs w:val="24"/>
        </w:rPr>
        <w:t>изчислява</w:t>
      </w:r>
      <w:r w:rsidR="0002083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45B9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чрез прилагането на подхода, описан в чл. 56 от </w:t>
      </w:r>
      <w:r w:rsidR="00845B9C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 w:rsidR="00845B9C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02083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524D83CF" w14:textId="1CCA8983" w:rsidR="00E2589C" w:rsidRPr="00E2589C" w:rsidRDefault="004E7C8D" w:rsidP="00E2589C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 този начин </w:t>
      </w:r>
      <w:r w:rsidR="004B59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всички </w:t>
      </w:r>
      <w:r w:rsidR="00645CB3">
        <w:rPr>
          <w:rFonts w:ascii="Times New Roman" w:eastAsia="Times New Roman" w:hAnsi="Times New Roman"/>
          <w:color w:val="000000" w:themeColor="text1"/>
          <w:sz w:val="24"/>
          <w:szCs w:val="24"/>
        </w:rPr>
        <w:t>д</w:t>
      </w:r>
      <w:r w:rsidR="006F3DA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опустими разходи </w:t>
      </w:r>
      <w:r w:rsidR="00645CB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 процедурата </w:t>
      </w:r>
      <w:r w:rsidR="00C34D2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определят </w:t>
      </w:r>
      <w:r w:rsidR="00BE44E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съответствие с чл. 56 от </w:t>
      </w:r>
      <w:r w:rsidR="00BE44E8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 w:rsidR="00044B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като </w:t>
      </w:r>
      <w:r w:rsidR="00E2589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</w:t>
      </w:r>
      <w:r w:rsidR="00E2589C" w:rsidRPr="00E2589C">
        <w:rPr>
          <w:rFonts w:ascii="Times New Roman" w:eastAsia="Times New Roman" w:hAnsi="Times New Roman"/>
          <w:color w:val="000000" w:themeColor="text1"/>
          <w:sz w:val="24"/>
          <w:szCs w:val="24"/>
        </w:rPr>
        <w:t>разходите за възнаграждения (преките разходи за персонал) и разходите за надбавки на участниците се прилагат единични разходи.</w:t>
      </w:r>
    </w:p>
    <w:p w14:paraId="5A4EC693" w14:textId="210A3784" w:rsidR="000D728B" w:rsidRPr="00D537AE" w:rsidRDefault="000D728B" w:rsidP="00D537AE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4BBC82D" w14:textId="77777777" w:rsidR="009E4528" w:rsidRDefault="009E4528">
      <w:pPr>
        <w:spacing w:after="0" w:line="240" w:lineRule="auto"/>
        <w:rPr>
          <w:rFonts w:ascii="Times New Roman" w:eastAsiaTheme="majorEastAsia" w:hAnsi="Times New Roman"/>
          <w:b/>
          <w:sz w:val="24"/>
          <w:szCs w:val="24"/>
          <w:highlight w:val="lightGray"/>
        </w:rPr>
      </w:pPr>
      <w:bookmarkStart w:id="4" w:name="_Toc121408997"/>
      <w:bookmarkStart w:id="5" w:name="_Toc121493476"/>
      <w:r>
        <w:rPr>
          <w:highlight w:val="lightGray"/>
        </w:rPr>
        <w:br w:type="page"/>
      </w:r>
    </w:p>
    <w:p w14:paraId="3F1F47ED" w14:textId="7E1B5CF8" w:rsidR="00360D85" w:rsidRPr="009F251A" w:rsidRDefault="5E51AA09" w:rsidP="00D846B2">
      <w:pPr>
        <w:pStyle w:val="Style1"/>
        <w:ind w:left="357" w:hanging="357"/>
      </w:pPr>
      <w:bookmarkStart w:id="6" w:name="_Hlk137547915"/>
      <w:r>
        <w:lastRenderedPageBreak/>
        <w:t xml:space="preserve">Определяне на единични разходи за </w:t>
      </w:r>
      <w:r w:rsidR="009E4528">
        <w:t xml:space="preserve">възнаграждения за </w:t>
      </w:r>
      <w:r w:rsidR="000F2F96">
        <w:t>наетите експерти</w:t>
      </w:r>
      <w:bookmarkEnd w:id="4"/>
      <w:bookmarkEnd w:id="5"/>
    </w:p>
    <w:p w14:paraId="2E172C29" w14:textId="77777777" w:rsidR="00360D85" w:rsidRPr="009F251A" w:rsidRDefault="00360D85" w:rsidP="00360D85">
      <w:pPr>
        <w:spacing w:after="0" w:line="360" w:lineRule="auto"/>
        <w:ind w:firstLine="709"/>
        <w:jc w:val="both"/>
        <w:rPr>
          <w:rFonts w:ascii="Times New Roman" w:eastAsia="SimSun" w:hAnsi="Times New Roman"/>
          <w:bCs/>
          <w:color w:val="FF0000"/>
          <w:sz w:val="24"/>
          <w:szCs w:val="24"/>
          <w:lang w:eastAsia="zh-CN"/>
        </w:rPr>
      </w:pPr>
    </w:p>
    <w:bookmarkEnd w:id="6"/>
    <w:p w14:paraId="74443E31" w14:textId="2A7F6201" w:rsidR="5E51AA09" w:rsidRDefault="00004687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Допустимите в</w:t>
      </w:r>
      <w:r w:rsidR="5E51AA09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ъзнаграждения на наетите лица </w:t>
      </w:r>
      <w:r w:rsidR="009B259E">
        <w:rPr>
          <w:rFonts w:ascii="Times New Roman" w:eastAsia="Times New Roman" w:hAnsi="Times New Roman"/>
          <w:color w:val="000000" w:themeColor="text1"/>
          <w:sz w:val="24"/>
          <w:szCs w:val="24"/>
        </w:rPr>
        <w:t>при изпълнението на</w:t>
      </w:r>
      <w:r w:rsidR="5E51AA09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15988">
        <w:rPr>
          <w:rFonts w:ascii="Times New Roman" w:eastAsia="Times New Roman" w:hAnsi="Times New Roman"/>
          <w:color w:val="000000" w:themeColor="text1"/>
          <w:sz w:val="24"/>
          <w:szCs w:val="24"/>
        </w:rPr>
        <w:t>проектните дейности</w:t>
      </w:r>
      <w:r w:rsidR="5E51AA09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определят като единичният разход за почасово възнаграждение на наетите </w:t>
      </w:r>
      <w:r w:rsidR="00376EB4">
        <w:rPr>
          <w:rFonts w:ascii="Times New Roman" w:eastAsia="Times New Roman" w:hAnsi="Times New Roman"/>
          <w:color w:val="000000" w:themeColor="text1"/>
          <w:sz w:val="24"/>
          <w:szCs w:val="24"/>
        </w:rPr>
        <w:t>експерти</w:t>
      </w:r>
      <w:r w:rsidR="00376EB4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5E51AA09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умножи по броя на отработените астрономически часове. </w:t>
      </w:r>
    </w:p>
    <w:p w14:paraId="13F1E292" w14:textId="4F5BCF11" w:rsidR="00EA2C64" w:rsidRDefault="002036B4" w:rsidP="002036B4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Съгласно </w:t>
      </w:r>
      <w:r w:rsidR="006F377A">
        <w:rPr>
          <w:rFonts w:ascii="Times New Roman" w:eastAsia="Times New Roman" w:hAnsi="Times New Roman"/>
          <w:color w:val="000000" w:themeColor="text1"/>
          <w:sz w:val="24"/>
          <w:szCs w:val="24"/>
        </w:rPr>
        <w:t>Условията за кандидатстване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895FF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изпълнението на </w:t>
      </w:r>
      <w:r w:rsidR="00F15988">
        <w:rPr>
          <w:rFonts w:ascii="Times New Roman" w:eastAsia="Times New Roman" w:hAnsi="Times New Roman"/>
          <w:color w:val="000000" w:themeColor="text1"/>
          <w:sz w:val="24"/>
          <w:szCs w:val="24"/>
        </w:rPr>
        <w:t>проектните дейности</w:t>
      </w:r>
      <w:r w:rsidR="00EA2C64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A2C64">
        <w:rPr>
          <w:rFonts w:ascii="Times New Roman" w:eastAsia="Times New Roman" w:hAnsi="Times New Roman"/>
          <w:color w:val="000000" w:themeColor="text1"/>
          <w:sz w:val="24"/>
          <w:szCs w:val="24"/>
        </w:rPr>
        <w:t>са необходими следните човешки ресурси:</w:t>
      </w:r>
    </w:p>
    <w:p w14:paraId="4FC0765C" w14:textId="221A6913" w:rsidR="00CD71B7" w:rsidRDefault="00354A97" w:rsidP="0074724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F76E06">
        <w:rPr>
          <w:rFonts w:ascii="Times New Roman" w:eastAsia="Times New Roman" w:hAnsi="Times New Roman"/>
          <w:color w:val="000000" w:themeColor="text1"/>
          <w:sz w:val="24"/>
          <w:szCs w:val="24"/>
        </w:rPr>
        <w:t>ксперти</w:t>
      </w:r>
      <w:r w:rsidR="000D0A6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 чужбина </w:t>
      </w:r>
      <w:r w:rsidR="00D30FB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(университетски преподаватели) </w:t>
      </w:r>
      <w:r w:rsidR="00CD71B7">
        <w:rPr>
          <w:rFonts w:ascii="Times New Roman" w:eastAsia="Times New Roman" w:hAnsi="Times New Roman"/>
          <w:color w:val="000000" w:themeColor="text1"/>
          <w:sz w:val="24"/>
          <w:szCs w:val="24"/>
        </w:rPr>
        <w:t>със задълбочени познания за прилагането на компетентностния модел в училищното образование</w:t>
      </w:r>
      <w:r w:rsidR="00217CA9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14:paraId="275B8C6E" w14:textId="23E9C8B8" w:rsidR="00FE47DE" w:rsidRDefault="00DD306C" w:rsidP="0074724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Научен екип</w:t>
      </w:r>
      <w:r w:rsidRPr="007422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 </w:t>
      </w:r>
      <w:r w:rsidR="00A0051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български </w:t>
      </w:r>
      <w:r w:rsidR="00FE47DE" w:rsidRPr="007422AC">
        <w:rPr>
          <w:rFonts w:ascii="Times New Roman" w:eastAsia="Times New Roman" w:hAnsi="Times New Roman"/>
          <w:color w:val="000000" w:themeColor="text1"/>
          <w:sz w:val="24"/>
          <w:szCs w:val="24"/>
        </w:rPr>
        <w:t>специалисти с различна компетентност или университетски преподаватели</w:t>
      </w:r>
      <w:r w:rsidR="009E25F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A61A58">
        <w:rPr>
          <w:rFonts w:ascii="Times New Roman" w:eastAsia="Times New Roman" w:hAnsi="Times New Roman"/>
          <w:color w:val="000000" w:themeColor="text1"/>
          <w:sz w:val="24"/>
          <w:szCs w:val="24"/>
        </w:rPr>
        <w:t>който разработва методологии</w:t>
      </w:r>
      <w:r w:rsidR="00C658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провежда обучения </w:t>
      </w:r>
      <w:r w:rsidR="00A61A58">
        <w:rPr>
          <w:rFonts w:ascii="Times New Roman" w:eastAsia="Times New Roman" w:hAnsi="Times New Roman"/>
          <w:color w:val="000000" w:themeColor="text1"/>
          <w:sz w:val="24"/>
          <w:szCs w:val="24"/>
        </w:rPr>
        <w:t>и осъществява методическа подкрепа за менторите</w:t>
      </w:r>
      <w:r w:rsidR="00FE47DE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="00FE47DE" w:rsidRPr="007422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04A3DD9A" w14:textId="1959A7A5" w:rsidR="004C1A49" w:rsidRDefault="004C1A49" w:rsidP="0074724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Ментори, които подпомагат педагогическите специалисти при въвеждането на компетентностния подход в училищата</w:t>
      </w:r>
      <w:r w:rsidR="00D30C36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14:paraId="0D11D403" w14:textId="71B3B1A9" w:rsidR="00551565" w:rsidRDefault="00FE47DE" w:rsidP="0074724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</w:t>
      </w:r>
      <w:r w:rsidR="00551565" w:rsidRPr="00466D9B">
        <w:rPr>
          <w:rFonts w:ascii="Times New Roman" w:eastAsia="Times New Roman" w:hAnsi="Times New Roman"/>
          <w:color w:val="000000" w:themeColor="text1"/>
          <w:sz w:val="24"/>
          <w:szCs w:val="24"/>
        </w:rPr>
        <w:t>едагогически специалисти (учители и директори)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които</w:t>
      </w:r>
      <w:r w:rsidR="00551565" w:rsidRPr="00466D9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64FE7" w:rsidRPr="00F968B4">
        <w:rPr>
          <w:rFonts w:ascii="Times New Roman" w:eastAsia="Times New Roman" w:hAnsi="Times New Roman"/>
          <w:color w:val="000000" w:themeColor="text1"/>
          <w:sz w:val="24"/>
          <w:szCs w:val="24"/>
        </w:rPr>
        <w:t>ще разработват и апробират</w:t>
      </w:r>
      <w:r w:rsidR="00E64FE7" w:rsidRPr="0074724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036B4" w:rsidRPr="00CD7514">
        <w:rPr>
          <w:rFonts w:ascii="Times New Roman" w:eastAsia="Times New Roman" w:hAnsi="Times New Roman"/>
          <w:color w:val="000000" w:themeColor="text1"/>
          <w:sz w:val="24"/>
          <w:szCs w:val="24"/>
        </w:rPr>
        <w:t>училищната документация и образователните ресурси</w:t>
      </w:r>
      <w:r w:rsidR="009E25F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2036B4" w:rsidRPr="00CD75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0851A332" w14:textId="77777777" w:rsidR="00D30C36" w:rsidRDefault="00D30C36" w:rsidP="00D30C3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C4929CF" w14:textId="111DB115" w:rsidR="001F007B" w:rsidRDefault="001F007B" w:rsidP="002036B4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Видовете специалисти/експерти, които са необходими за изпълнението на </w:t>
      </w:r>
      <w:r w:rsidR="0005668B">
        <w:rPr>
          <w:rFonts w:ascii="Times New Roman" w:eastAsia="Times New Roman" w:hAnsi="Times New Roman"/>
          <w:color w:val="000000" w:themeColor="text1"/>
          <w:sz w:val="24"/>
          <w:szCs w:val="24"/>
        </w:rPr>
        <w:t>проектните дейности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9E11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може да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25484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обобщят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 следните групи:</w:t>
      </w:r>
    </w:p>
    <w:p w14:paraId="0DD5B0EF" w14:textId="77777777" w:rsidR="001F007B" w:rsidRPr="0071692E" w:rsidRDefault="001F007B" w:rsidP="001F007B">
      <w:pPr>
        <w:pStyle w:val="ListParagraph"/>
        <w:numPr>
          <w:ilvl w:val="0"/>
          <w:numId w:val="11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>Педагогически специалисти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,</w:t>
      </w:r>
      <w:r w:rsidRPr="00C44890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ангажирани в образователната система, участници в проекта,</w:t>
      </w:r>
      <w:r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за които</w:t>
      </w:r>
      <w:r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е оправдано да се приложи единичен разход </w:t>
      </w:r>
      <w:r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>3.27. Възнаграждения на педагогическите специалисти за 1 отработен астрономически час</w:t>
      </w:r>
      <w:r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от приложение ТЕРЕС-ПО;</w:t>
      </w:r>
    </w:p>
    <w:p w14:paraId="59F18648" w14:textId="1B9696C4" w:rsidR="001F007B" w:rsidRDefault="00106A5E" w:rsidP="001F007B">
      <w:pPr>
        <w:pStyle w:val="ListParagraph"/>
        <w:numPr>
          <w:ilvl w:val="0"/>
          <w:numId w:val="11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</w:t>
      </w:r>
      <w:r w:rsidR="008E73C4">
        <w:rPr>
          <w:rFonts w:ascii="Times New Roman" w:eastAsia="Times New Roman" w:hAnsi="Times New Roman"/>
          <w:color w:val="000000" w:themeColor="text1"/>
          <w:sz w:val="24"/>
          <w:szCs w:val="24"/>
        </w:rPr>
        <w:t>ентори</w:t>
      </w:r>
      <w:r w:rsidR="008F62D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които </w:t>
      </w:r>
      <w:r w:rsidR="003246BE">
        <w:rPr>
          <w:rFonts w:ascii="Times New Roman" w:eastAsia="Times New Roman" w:hAnsi="Times New Roman"/>
          <w:color w:val="000000" w:themeColor="text1"/>
          <w:sz w:val="24"/>
          <w:szCs w:val="24"/>
        </w:rPr>
        <w:t>подпомагат</w:t>
      </w:r>
      <w:r w:rsidR="008F62D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въвежда</w:t>
      </w:r>
      <w:r w:rsidR="003246BE">
        <w:rPr>
          <w:rFonts w:ascii="Times New Roman" w:eastAsia="Times New Roman" w:hAnsi="Times New Roman"/>
          <w:color w:val="000000" w:themeColor="text1"/>
          <w:sz w:val="24"/>
          <w:szCs w:val="24"/>
        </w:rPr>
        <w:t>нето на</w:t>
      </w:r>
      <w:r w:rsidR="008F62D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компетентностния подход в училищата</w:t>
      </w:r>
      <w:r w:rsidR="001F007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9C07DC">
        <w:rPr>
          <w:rFonts w:ascii="Times New Roman" w:eastAsia="Times New Roman" w:hAnsi="Times New Roman"/>
          <w:color w:val="000000" w:themeColor="text1"/>
          <w:sz w:val="24"/>
          <w:szCs w:val="24"/>
        </w:rPr>
        <w:t>участващи в проекта</w:t>
      </w:r>
      <w:r w:rsidR="001F007B"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. </w:t>
      </w:r>
      <w:r w:rsidR="001F007B" w:rsidRPr="009C73E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За тази категория е оправдано да се приложи </w:t>
      </w:r>
      <w:r w:rsidR="001F007B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единичен разход </w:t>
      </w:r>
      <w:r w:rsidR="001F007B"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>3.28. Възнаграждения на експерти образователни дейности за 1 отработен астрономически час</w:t>
      </w:r>
      <w:r w:rsidR="001F007B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1F007B" w:rsidRPr="009C73EC">
        <w:rPr>
          <w:rFonts w:ascii="Times New Roman" w:eastAsia="Times New Roman" w:hAnsi="Times New Roman"/>
          <w:bCs/>
          <w:sz w:val="24"/>
          <w:szCs w:val="24"/>
          <w:lang w:eastAsia="bg-BG"/>
        </w:rPr>
        <w:t>от приложение ТЕРЕС-ПО</w:t>
      </w:r>
      <w:r w:rsidR="001F007B"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14:paraId="10608301" w14:textId="01034153" w:rsidR="0025484C" w:rsidRDefault="0025484C" w:rsidP="001F007B">
      <w:pPr>
        <w:pStyle w:val="ListParagraph"/>
        <w:numPr>
          <w:ilvl w:val="0"/>
          <w:numId w:val="11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Лектори, които </w:t>
      </w:r>
      <w:r w:rsidR="00EB5FD3">
        <w:rPr>
          <w:rFonts w:ascii="Times New Roman" w:eastAsia="Times New Roman" w:hAnsi="Times New Roman"/>
          <w:color w:val="000000" w:themeColor="text1"/>
          <w:sz w:val="24"/>
          <w:szCs w:val="24"/>
        </w:rPr>
        <w:t>провеждат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обучения на педагогическите специалисти</w:t>
      </w:r>
      <w:r w:rsidR="009E7CE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9E7CE5">
        <w:rPr>
          <w:rFonts w:ascii="Times New Roman" w:eastAsia="Times New Roman" w:hAnsi="Times New Roman"/>
          <w:bCs/>
          <w:sz w:val="24"/>
          <w:szCs w:val="24"/>
          <w:lang w:eastAsia="bg-BG"/>
        </w:rPr>
        <w:t>за които</w:t>
      </w:r>
      <w:r w:rsidR="009E7CE5"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е оправдано да се приложи единичен разход </w:t>
      </w:r>
      <w:r w:rsidR="009E7CE5"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>3.2</w:t>
      </w:r>
      <w:r w:rsidR="009E7CE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>9</w:t>
      </w:r>
      <w:r w:rsidR="009E7CE5"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 xml:space="preserve">. Възнаграждения на </w:t>
      </w:r>
      <w:r w:rsidR="00F61FC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lastRenderedPageBreak/>
        <w:t xml:space="preserve">лекторите при обучения на </w:t>
      </w:r>
      <w:r w:rsidR="009E7CE5"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 xml:space="preserve">педагогически специалисти за 1 </w:t>
      </w:r>
      <w:r w:rsidR="00F61FC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 xml:space="preserve">проведен </w:t>
      </w:r>
      <w:r w:rsidR="009E7CE5"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 xml:space="preserve"> а</w:t>
      </w:r>
      <w:r w:rsidR="00F61FC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>кадемичен</w:t>
      </w:r>
      <w:r w:rsidR="009E7CE5" w:rsidRPr="00380A25"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  <w:t xml:space="preserve"> час</w:t>
      </w:r>
      <w:r w:rsidR="009E7CE5" w:rsidRPr="0071692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от приложение ТЕРЕС-ПО</w:t>
      </w:r>
      <w:r w:rsidR="00B8100B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14:paraId="6A5BAB13" w14:textId="4DC92040" w:rsidR="00CB57B6" w:rsidRDefault="008D5116" w:rsidP="001F007B">
      <w:pPr>
        <w:pStyle w:val="ListParagraph"/>
        <w:numPr>
          <w:ilvl w:val="0"/>
          <w:numId w:val="11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r w:rsidR="00CB57B6">
        <w:rPr>
          <w:rFonts w:ascii="Times New Roman" w:eastAsia="Times New Roman" w:hAnsi="Times New Roman"/>
          <w:color w:val="000000" w:themeColor="text1"/>
          <w:sz w:val="24"/>
          <w:szCs w:val="24"/>
        </w:rPr>
        <w:t>чени</w:t>
      </w:r>
      <w:r w:rsidR="000048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(или университетски преподаватели)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Европейския съюз</w:t>
      </w:r>
      <w:r w:rsidR="000048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F85408">
        <w:rPr>
          <w:rFonts w:ascii="Times New Roman" w:eastAsia="Times New Roman" w:hAnsi="Times New Roman"/>
          <w:color w:val="000000" w:themeColor="text1"/>
          <w:sz w:val="24"/>
          <w:szCs w:val="24"/>
        </w:rPr>
        <w:t>които са участвали в изпълнението на проекти</w:t>
      </w:r>
      <w:r w:rsidR="008F64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финансирани </w:t>
      </w:r>
      <w:r w:rsidR="003D5E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 </w:t>
      </w:r>
      <w:r w:rsidR="008F64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Рамковата програма „Хоризонт Европа“ </w:t>
      </w:r>
      <w:r w:rsidR="00067655">
        <w:rPr>
          <w:rFonts w:ascii="Times New Roman" w:eastAsia="Times New Roman" w:hAnsi="Times New Roman"/>
          <w:color w:val="000000" w:themeColor="text1"/>
          <w:sz w:val="24"/>
          <w:szCs w:val="24"/>
        </w:rPr>
        <w:t>и съответно з</w:t>
      </w:r>
      <w:r w:rsidR="000048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 </w:t>
      </w:r>
      <w:r w:rsidR="0006765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тях </w:t>
      </w:r>
      <w:r w:rsidR="000048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 оправдано да се приложи </w:t>
      </w:r>
      <w:r w:rsidR="00961F45">
        <w:rPr>
          <w:rFonts w:ascii="Times New Roman" w:eastAsia="Times New Roman" w:hAnsi="Times New Roman"/>
          <w:color w:val="000000" w:themeColor="text1"/>
          <w:sz w:val="24"/>
          <w:szCs w:val="24"/>
        </w:rPr>
        <w:t>средното ниво на възнаграждения</w:t>
      </w:r>
      <w:r w:rsidR="00316C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</w:t>
      </w:r>
      <w:r w:rsidR="009E780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учени от </w:t>
      </w:r>
      <w:r w:rsidR="00316C0E">
        <w:rPr>
          <w:rFonts w:ascii="Times New Roman" w:eastAsia="Times New Roman" w:hAnsi="Times New Roman"/>
          <w:color w:val="000000" w:themeColor="text1"/>
          <w:sz w:val="24"/>
          <w:szCs w:val="24"/>
        </w:rPr>
        <w:t>ЕС (без България)</w:t>
      </w:r>
      <w:r w:rsidR="00961F45">
        <w:rPr>
          <w:rFonts w:ascii="Times New Roman" w:eastAsia="Times New Roman" w:hAnsi="Times New Roman"/>
          <w:color w:val="000000" w:themeColor="text1"/>
          <w:sz w:val="24"/>
          <w:szCs w:val="24"/>
        </w:rPr>
        <w:t>, използвано при проектите, финансирани от Рамковата програма „Хоризонт Европа“</w:t>
      </w:r>
      <w:r w:rsidR="00C902DC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14:paraId="2595CC1F" w14:textId="506F0DD0" w:rsidR="00C902DC" w:rsidRDefault="00C902DC" w:rsidP="001F007B">
      <w:pPr>
        <w:pStyle w:val="ListParagraph"/>
        <w:numPr>
          <w:ilvl w:val="0"/>
          <w:numId w:val="11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Български учени (или университетски преподаватели) с познания за прилагането на компетентностния подход</w:t>
      </w:r>
      <w:r w:rsidR="006060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533C93" w:rsidRPr="00533C93">
        <w:rPr>
          <w:rFonts w:ascii="Times New Roman" w:eastAsia="Times New Roman" w:hAnsi="Times New Roman"/>
          <w:color w:val="000000" w:themeColor="text1"/>
          <w:sz w:val="24"/>
          <w:szCs w:val="24"/>
        </w:rPr>
        <w:t>който разработва методологии, провежда обучения и осъществява методическа подкрепа за менторите</w:t>
      </w:r>
      <w:r w:rsidR="00115BC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067655" w:rsidRPr="0006765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97D07" w:rsidRPr="00197D0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тази категория е оправдано да се приложи единичен разход </w:t>
      </w:r>
      <w:r w:rsidR="00197D07" w:rsidRPr="00BA322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3.28. Възнаграждения на експерти образователни дейности за 1 отработен астрономически час</w:t>
      </w:r>
      <w:r w:rsidR="00197D07" w:rsidRPr="00197D0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приложение ТЕРЕС-ПО</w:t>
      </w:r>
      <w:r w:rsidR="009E7806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14:paraId="4B8F397E" w14:textId="77777777" w:rsidR="00524DCA" w:rsidRDefault="00524DCA" w:rsidP="5E51AA09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B85D32" w14:textId="294829BC" w:rsidR="00BC1765" w:rsidRDefault="00524DCA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4DCA">
        <w:rPr>
          <w:rFonts w:ascii="Times New Roman" w:eastAsia="Times New Roman" w:hAnsi="Times New Roman"/>
          <w:color w:val="000000" w:themeColor="text1"/>
          <w:sz w:val="24"/>
          <w:szCs w:val="24"/>
        </w:rPr>
        <w:t>Единични разходи 3.2</w:t>
      </w:r>
      <w:r w:rsid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7</w:t>
      </w:r>
      <w:r w:rsidR="00140E4A">
        <w:rPr>
          <w:rFonts w:ascii="Times New Roman" w:eastAsia="Times New Roman" w:hAnsi="Times New Roman"/>
          <w:color w:val="000000" w:themeColor="text1"/>
          <w:sz w:val="24"/>
          <w:szCs w:val="24"/>
        </w:rPr>
        <w:t>-</w:t>
      </w:r>
      <w:r w:rsidRPr="00524DCA">
        <w:rPr>
          <w:rFonts w:ascii="Times New Roman" w:eastAsia="Times New Roman" w:hAnsi="Times New Roman"/>
          <w:color w:val="000000" w:themeColor="text1"/>
          <w:sz w:val="24"/>
          <w:szCs w:val="24"/>
        </w:rPr>
        <w:t>3.2</w:t>
      </w:r>
      <w:r w:rsidR="00140E4A">
        <w:rPr>
          <w:rFonts w:ascii="Times New Roman" w:eastAsia="Times New Roman" w:hAnsi="Times New Roman"/>
          <w:color w:val="000000" w:themeColor="text1"/>
          <w:sz w:val="24"/>
          <w:szCs w:val="24"/>
        </w:rPr>
        <w:t>9</w:t>
      </w:r>
      <w:r w:rsidRPr="00524D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са изчислени и обосновани въз основа на единични разходи 1.1, 1.2 и 1.17 в Таблица на единичните разходи и еднократните суми по процедура BG05SFPR001-1.004 „Утвърждаване на интеркултурното образование чрез култура, наука и спорт“, утвърдена от Ръководителя на УО на 22.01.2024 г. 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Единичните разходи се прилагат </w:t>
      </w:r>
      <w:r w:rsidR="00475A1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процедури </w:t>
      </w:r>
      <w:r w:rsidR="002A426E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BG05SFPR001-1.001 „Обща и допълнителна подкрепа за личностно развитие в училищното образование“</w:t>
      </w:r>
      <w:r w:rsidR="002A426E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2A426E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BG05SFPR001-3.001-0001 „Модернизиране на ПОО“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BG05SFPR001-1.006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BG05SFPR001-3.005 „Развитие на дуалната система на обучение в ПОО (чрез прилагане на подхода ИТИ)“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BG05SFPR001-3.00</w:t>
      </w:r>
      <w:r w:rsidR="00DC4C92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„Развитие на дуалната система на обучение в ПОО (чрез подбор)“</w:t>
      </w:r>
      <w:r w:rsidR="00867D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867D0D" w:rsidRPr="00867D0D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BG05SFPR001-1.002 „Достъп до образование за всяко дете“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</w:t>
      </w:r>
      <w:r w:rsidR="00BC1765" w:rsidRPr="00BC1765">
        <w:rPr>
          <w:rFonts w:ascii="Times New Roman" w:eastAsia="Times New Roman" w:hAnsi="Times New Roman"/>
          <w:color w:val="000000" w:themeColor="text1"/>
          <w:sz w:val="24"/>
          <w:szCs w:val="24"/>
        </w:rPr>
        <w:t>BG05SFPR001-2.002 „Дигитална трансформация на училищното образование“</w:t>
      </w:r>
      <w:r w:rsidR="00586E0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36A0D1B3" w14:textId="6E986556" w:rsidR="00DB426E" w:rsidRDefault="00DB426E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Актуализирането на размера на единичните разходи за възнаграждения 3.27-3.29 се извършва въз основа на индекса на разходите за труд в област „Образование“, </w:t>
      </w: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публикуван от Евростат. За последните 2 години - 2023 и 2024, годишният индекс за България е над 15 %, а съгласно Анекс № Д01-30/31.03.2025 г. към Колективния трудов договор за системата на предучилищното и училищното образование, заплатите на педагогическите специалисти се увеличават средно с 15 %, считано от 01.03.2025 г. Затова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за да се получи по-точно изчисление на </w:t>
      </w:r>
      <w:r w:rsidR="00F223C9">
        <w:rPr>
          <w:rFonts w:ascii="Times New Roman" w:eastAsia="Times New Roman" w:hAnsi="Times New Roman"/>
          <w:color w:val="000000" w:themeColor="text1"/>
          <w:sz w:val="24"/>
          <w:szCs w:val="24"/>
        </w:rPr>
        <w:t>прогнозния бюджет на операцията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УО залага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предварителна </w:t>
      </w: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индексация от 15 %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(т.е. </w:t>
      </w:r>
      <w:r w:rsidR="009250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предварително се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отчита очакваното увеличение на разходите за труд за 2025 г.) </w:t>
      </w: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единичните разходи 3.27-3.29, които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реално </w:t>
      </w: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ще започнат да се </w:t>
      </w:r>
      <w:r w:rsidR="00925027">
        <w:rPr>
          <w:rFonts w:ascii="Times New Roman" w:eastAsia="Times New Roman" w:hAnsi="Times New Roman"/>
          <w:color w:val="000000" w:themeColor="text1"/>
          <w:sz w:val="24"/>
          <w:szCs w:val="24"/>
        </w:rPr>
        <w:t>използват по проекта</w:t>
      </w:r>
      <w:r w:rsidRPr="00A669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през 2026 г.</w:t>
      </w:r>
    </w:p>
    <w:p w14:paraId="27A7074C" w14:textId="4F71C239" w:rsidR="5E51AA09" w:rsidRDefault="5E51AA09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При изчисляване на </w:t>
      </w:r>
      <w:r w:rsidR="009308D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допустимите</w:t>
      </w:r>
      <w:r w:rsidR="009308D8"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разходи за възнаграждения на наетите педагогически специалисти ще се прилага единичен разход от </w:t>
      </w:r>
      <w:r w:rsidR="00CF7BB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/>
        </w:rPr>
        <w:t>43</w:t>
      </w:r>
      <w:r w:rsidR="001576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/>
        </w:rPr>
        <w:t>,</w:t>
      </w:r>
      <w:r w:rsidR="00CF7BB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/>
        </w:rPr>
        <w:t>70</w:t>
      </w:r>
      <w:r w:rsidR="0024256F"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лв. за 1 отработен час.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6D120C3E" w14:textId="39952F2B" w:rsidR="5E51AA09" w:rsidRDefault="5E51AA09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При изчисляване на </w:t>
      </w:r>
      <w:r w:rsidR="00CD70E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допустимите</w:t>
      </w:r>
      <w:r w:rsidR="00CD70EF"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разходи за възнаграждения на наетите експерти образователни дейности ще се прилага единичен разход от </w:t>
      </w:r>
      <w:r w:rsidR="001576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/>
        </w:rPr>
        <w:t>50,60</w:t>
      </w:r>
      <w:r w:rsidR="001576D4"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лв. за 1 отработен час.</w:t>
      </w:r>
    </w:p>
    <w:p w14:paraId="13FECB3C" w14:textId="3A37199B" w:rsidR="007B6D45" w:rsidRDefault="007B6D45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При изчисляване на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допустимите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разходи за възнаграждения на </w:t>
      </w:r>
      <w:r w:rsidR="00FD294F" w:rsidRPr="00FD294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лекторите при обучения на педагогически специалисти</w:t>
      </w:r>
      <w:r w:rsidR="0015131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AF044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и други експерти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ще се прилага единичен разход от </w:t>
      </w:r>
      <w:r w:rsidR="001576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</w:t>
      </w:r>
      <w:r w:rsidR="001576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/>
        </w:rPr>
        <w:t>4,50</w:t>
      </w:r>
      <w:r w:rsidR="001576D4"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лв. за 1 </w:t>
      </w:r>
      <w:r w:rsidR="0015131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проведен академичен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час.</w:t>
      </w:r>
    </w:p>
    <w:p w14:paraId="20122F94" w14:textId="77777777" w:rsidR="00A41C5A" w:rsidRDefault="00B46264" w:rsidP="00BA322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462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изпълнението на РП 1 се включват учени (или университетски преподаватели) от Европейския съюз, </w:t>
      </w:r>
      <w:r w:rsidR="006810B5" w:rsidRPr="006810B5">
        <w:rPr>
          <w:rFonts w:ascii="Times New Roman" w:eastAsia="Times New Roman" w:hAnsi="Times New Roman"/>
          <w:color w:val="000000" w:themeColor="text1"/>
          <w:sz w:val="24"/>
          <w:szCs w:val="24"/>
        </w:rPr>
        <w:t>които са участвали в изпълнението на проекти, финансирани Рамковата програма „Хоризонт Европа“</w:t>
      </w:r>
      <w:r w:rsidRPr="00B462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В съответствие с чл. 53, параграф 3, буква а) от Регламент 2021/1060 за определянето на допустимите разходи за възнаграждения на тези висококвалифицирани експерти е използвана друга обективна информация, която може да се провери. Университетските преподаватели, работещи по процедура BG05SFPR001-2.001, участват в създаването на интелектуални/научни продукти (методология за менторство и коучинг, базови модули за обучение на педагогическите специалисти за разработване и прилагане на МПРКК, обучителни материали, консултации) и провеждането на обучения, т.е. извършват дейности, които са сходни с дейностите, финансирани от Програма „Хоризонт Европа“. </w:t>
      </w:r>
    </w:p>
    <w:p w14:paraId="5B2525A5" w14:textId="250A4C26" w:rsidR="00A41C5A" w:rsidRPr="00BA3222" w:rsidRDefault="00A41C5A" w:rsidP="00BA3222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Дейностите и целевите групи в рамките на РП 1, са сходни/напълно съпоставими с типовете дейности, които „Хоризонт Европа“ финансира в проекти, свързани с образование, обучение и изграждане на капацитет, </w:t>
      </w:r>
      <w:r w:rsidR="007A5CA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както е </w:t>
      </w: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видно от таблицата по-долу:</w:t>
      </w:r>
    </w:p>
    <w:tbl>
      <w:tblPr>
        <w:tblStyle w:val="TableGrid"/>
        <w:tblW w:w="10668" w:type="dxa"/>
        <w:tblInd w:w="-601" w:type="dxa"/>
        <w:tblLook w:val="04A0" w:firstRow="1" w:lastRow="0" w:firstColumn="1" w:lastColumn="0" w:noHBand="0" w:noVBand="1"/>
      </w:tblPr>
      <w:tblGrid>
        <w:gridCol w:w="1608"/>
        <w:gridCol w:w="2679"/>
        <w:gridCol w:w="1965"/>
        <w:gridCol w:w="2451"/>
        <w:gridCol w:w="1965"/>
      </w:tblGrid>
      <w:tr w:rsidR="00801346" w:rsidRPr="00D50016" w14:paraId="593C3C88" w14:textId="77777777" w:rsidTr="00BA3222">
        <w:tc>
          <w:tcPr>
            <w:tcW w:w="1608" w:type="dxa"/>
          </w:tcPr>
          <w:p w14:paraId="22E1E10C" w14:textId="77777777" w:rsidR="00A41C5A" w:rsidRPr="00BA3222" w:rsidRDefault="00A41C5A" w:rsidP="005C02BD">
            <w:pPr>
              <w:rPr>
                <w:rFonts w:ascii="Times New Roman" w:hAnsi="Times New Roman"/>
                <w:b/>
                <w:bCs/>
              </w:rPr>
            </w:pPr>
            <w:r w:rsidRPr="00BA3222">
              <w:rPr>
                <w:rFonts w:ascii="Times New Roman" w:hAnsi="Times New Roman"/>
                <w:b/>
                <w:bCs/>
              </w:rPr>
              <w:lastRenderedPageBreak/>
              <w:t>Тематични области по Програма „Хоризонт Европа“</w:t>
            </w:r>
          </w:p>
        </w:tc>
        <w:tc>
          <w:tcPr>
            <w:tcW w:w="2679" w:type="dxa"/>
          </w:tcPr>
          <w:p w14:paraId="4E834633" w14:textId="77777777" w:rsidR="00A41C5A" w:rsidRPr="00BA3222" w:rsidRDefault="00A41C5A" w:rsidP="005C02BD">
            <w:pPr>
              <w:rPr>
                <w:rFonts w:ascii="Times New Roman" w:hAnsi="Times New Roman"/>
                <w:b/>
                <w:bCs/>
              </w:rPr>
            </w:pPr>
            <w:r w:rsidRPr="00BA3222">
              <w:rPr>
                <w:rFonts w:ascii="Times New Roman" w:hAnsi="Times New Roman"/>
                <w:b/>
                <w:bCs/>
              </w:rPr>
              <w:t>Типични дейности  в „Хоризонт Европа“</w:t>
            </w:r>
          </w:p>
        </w:tc>
        <w:tc>
          <w:tcPr>
            <w:tcW w:w="1965" w:type="dxa"/>
          </w:tcPr>
          <w:p w14:paraId="1D28FF40" w14:textId="77777777" w:rsidR="00A41C5A" w:rsidRPr="00BA3222" w:rsidRDefault="00A41C5A" w:rsidP="005C02BD">
            <w:pPr>
              <w:rPr>
                <w:rFonts w:ascii="Times New Roman" w:hAnsi="Times New Roman"/>
                <w:b/>
                <w:bCs/>
              </w:rPr>
            </w:pPr>
            <w:r w:rsidRPr="00BA3222">
              <w:rPr>
                <w:rFonts w:ascii="Times New Roman" w:hAnsi="Times New Roman"/>
                <w:b/>
                <w:bCs/>
              </w:rPr>
              <w:t>Целеви групи по „Хоризонт Европа“</w:t>
            </w:r>
          </w:p>
        </w:tc>
        <w:tc>
          <w:tcPr>
            <w:tcW w:w="2451" w:type="dxa"/>
          </w:tcPr>
          <w:p w14:paraId="48D5033B" w14:textId="77777777" w:rsidR="00A41C5A" w:rsidRPr="00BA3222" w:rsidRDefault="00A41C5A" w:rsidP="005C02BD">
            <w:pPr>
              <w:rPr>
                <w:rFonts w:ascii="Times New Roman" w:hAnsi="Times New Roman"/>
                <w:b/>
                <w:bCs/>
              </w:rPr>
            </w:pPr>
            <w:r w:rsidRPr="00BA3222">
              <w:rPr>
                <w:rFonts w:ascii="Times New Roman" w:hAnsi="Times New Roman"/>
                <w:b/>
                <w:bCs/>
              </w:rPr>
              <w:t>Планирани дейности по процедурата</w:t>
            </w:r>
          </w:p>
        </w:tc>
        <w:tc>
          <w:tcPr>
            <w:tcW w:w="1965" w:type="dxa"/>
          </w:tcPr>
          <w:p w14:paraId="2EE9C521" w14:textId="77777777" w:rsidR="00A41C5A" w:rsidRPr="00BA3222" w:rsidRDefault="00A41C5A" w:rsidP="005C02BD">
            <w:pPr>
              <w:rPr>
                <w:rFonts w:ascii="Times New Roman" w:hAnsi="Times New Roman"/>
                <w:b/>
                <w:bCs/>
              </w:rPr>
            </w:pPr>
            <w:r w:rsidRPr="00BA3222">
              <w:rPr>
                <w:rFonts w:ascii="Times New Roman" w:hAnsi="Times New Roman"/>
                <w:b/>
                <w:bCs/>
              </w:rPr>
              <w:t>Целеви групи по процедурата</w:t>
            </w:r>
          </w:p>
        </w:tc>
      </w:tr>
      <w:tr w:rsidR="00801346" w:rsidRPr="00D50016" w14:paraId="66F176DB" w14:textId="77777777" w:rsidTr="00BA3222">
        <w:tc>
          <w:tcPr>
            <w:tcW w:w="1608" w:type="dxa"/>
          </w:tcPr>
          <w:p w14:paraId="76EB1A6D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Capacity building &amp; mentoring</w:t>
            </w:r>
          </w:p>
        </w:tc>
        <w:tc>
          <w:tcPr>
            <w:tcW w:w="2679" w:type="dxa"/>
          </w:tcPr>
          <w:p w14:paraId="3461AC74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Менторство и обмен на опит;</w:t>
            </w:r>
            <w:r w:rsidRPr="00BA3222">
              <w:rPr>
                <w:rFonts w:ascii="Times New Roman" w:hAnsi="Times New Roman"/>
              </w:rPr>
              <w:br/>
              <w:t>• Съвместни дейности: уъркшопи, работни посещения, обмен на персонал</w:t>
            </w:r>
            <w:r w:rsidRPr="00BA3222">
              <w:rPr>
                <w:rFonts w:ascii="Times New Roman" w:hAnsi="Times New Roman"/>
              </w:rPr>
              <w:br/>
              <w:t>• Разработване на нови учебни/тренировъчни модули за студенти и преподаватели</w:t>
            </w:r>
          </w:p>
        </w:tc>
        <w:tc>
          <w:tcPr>
            <w:tcW w:w="1965" w:type="dxa"/>
          </w:tcPr>
          <w:p w14:paraId="2221A480" w14:textId="2D02AC18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Pr="00BA3222">
              <w:rPr>
                <w:rFonts w:ascii="Times New Roman" w:hAnsi="Times New Roman"/>
              </w:rPr>
              <w:t>Университетски преподаватели / академичен персонал;                     • Ментори и обучители</w:t>
            </w:r>
          </w:p>
        </w:tc>
        <w:tc>
          <w:tcPr>
            <w:tcW w:w="2451" w:type="dxa"/>
          </w:tcPr>
          <w:p w14:paraId="7FB08B7A" w14:textId="069D579B" w:rsidR="00A41C5A" w:rsidRPr="00BA3222" w:rsidRDefault="000367D3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 xml:space="preserve">• </w:t>
            </w:r>
            <w:r w:rsidR="00A41C5A" w:rsidRPr="00BA3222">
              <w:rPr>
                <w:rFonts w:ascii="Times New Roman" w:hAnsi="Times New Roman"/>
              </w:rPr>
              <w:t>Менторство между чужди експерти и български ментори</w:t>
            </w:r>
            <w:r w:rsidR="00A41C5A" w:rsidRPr="00BA3222">
              <w:rPr>
                <w:rFonts w:ascii="Times New Roman" w:hAnsi="Times New Roman"/>
              </w:rPr>
              <w:br/>
              <w:t xml:space="preserve">• Работни срещи/посещения </w:t>
            </w:r>
            <w:r w:rsidR="00A8631D" w:rsidRPr="00BA3222">
              <w:rPr>
                <w:rFonts w:ascii="Times New Roman" w:hAnsi="Times New Roman"/>
              </w:rPr>
              <w:t>в</w:t>
            </w:r>
            <w:r w:rsidR="00A41C5A" w:rsidRPr="00BA3222">
              <w:rPr>
                <w:rFonts w:ascii="Times New Roman" w:hAnsi="Times New Roman"/>
              </w:rPr>
              <w:t xml:space="preserve"> училища</w:t>
            </w:r>
            <w:r w:rsidR="00A41C5A" w:rsidRPr="00BA3222">
              <w:rPr>
                <w:rFonts w:ascii="Times New Roman" w:hAnsi="Times New Roman"/>
              </w:rPr>
              <w:br/>
              <w:t>• Подобряване на ресурсната банка и подходите на менторите</w:t>
            </w:r>
            <w:r w:rsidR="00A41C5A" w:rsidRPr="00BA3222">
              <w:rPr>
                <w:rFonts w:ascii="Times New Roman" w:hAnsi="Times New Roman"/>
              </w:rPr>
              <w:br/>
              <w:t>• Разработване на модули/ръководства за менторство</w:t>
            </w:r>
          </w:p>
        </w:tc>
        <w:tc>
          <w:tcPr>
            <w:tcW w:w="1965" w:type="dxa"/>
          </w:tcPr>
          <w:p w14:paraId="7BFED7D8" w14:textId="78C808B3" w:rsidR="00937234" w:rsidRPr="00BA3222" w:rsidRDefault="000367D3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="00A41C5A" w:rsidRPr="00BA3222">
              <w:rPr>
                <w:rFonts w:ascii="Times New Roman" w:hAnsi="Times New Roman"/>
              </w:rPr>
              <w:t>Университетски преподаватели / академичен персонал;</w:t>
            </w:r>
          </w:p>
          <w:p w14:paraId="7F251E52" w14:textId="53C07641" w:rsidR="000367D3" w:rsidRPr="00BA3222" w:rsidRDefault="006313EE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 xml:space="preserve">• </w:t>
            </w:r>
            <w:r w:rsidR="00937234" w:rsidRPr="00BA3222">
              <w:rPr>
                <w:rFonts w:ascii="Times New Roman" w:hAnsi="Times New Roman"/>
              </w:rPr>
              <w:t>Ментори</w:t>
            </w:r>
          </w:p>
          <w:p w14:paraId="32E3C460" w14:textId="19857155" w:rsidR="00A41C5A" w:rsidRPr="00BA3222" w:rsidRDefault="006313EE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 xml:space="preserve">• </w:t>
            </w:r>
            <w:r w:rsidR="000367D3" w:rsidRPr="00BA3222">
              <w:rPr>
                <w:rFonts w:ascii="Times New Roman" w:hAnsi="Times New Roman"/>
              </w:rPr>
              <w:t>Педагогически специалисти</w:t>
            </w:r>
            <w:r w:rsidR="00A41C5A" w:rsidRPr="00BA3222">
              <w:rPr>
                <w:rFonts w:ascii="Times New Roman" w:hAnsi="Times New Roman"/>
              </w:rPr>
              <w:t xml:space="preserve">                 </w:t>
            </w:r>
          </w:p>
        </w:tc>
      </w:tr>
      <w:tr w:rsidR="00801346" w:rsidRPr="00D50016" w14:paraId="3A04C62F" w14:textId="77777777" w:rsidTr="00BA3222">
        <w:tc>
          <w:tcPr>
            <w:tcW w:w="1608" w:type="dxa"/>
          </w:tcPr>
          <w:p w14:paraId="5869A38C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Training &amp; knowledge transfer</w:t>
            </w:r>
          </w:p>
        </w:tc>
        <w:tc>
          <w:tcPr>
            <w:tcW w:w="2679" w:type="dxa"/>
          </w:tcPr>
          <w:p w14:paraId="67B41297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Краткосрочни международни и междусекторни обменни визити (secondments)</w:t>
            </w:r>
            <w:r w:rsidRPr="00BA3222">
              <w:rPr>
                <w:rFonts w:ascii="Times New Roman" w:hAnsi="Times New Roman"/>
              </w:rPr>
              <w:br/>
              <w:t>• План за трансфер на знания и съвместни обучителни събития</w:t>
            </w:r>
            <w:r w:rsidRPr="00BA3222">
              <w:rPr>
                <w:rFonts w:ascii="Times New Roman" w:hAnsi="Times New Roman"/>
              </w:rPr>
              <w:br/>
              <w:t>• Мрежови събития и тренинги за хоризонтални и „transferable“ умения</w:t>
            </w:r>
          </w:p>
        </w:tc>
        <w:tc>
          <w:tcPr>
            <w:tcW w:w="1965" w:type="dxa"/>
          </w:tcPr>
          <w:p w14:paraId="023A17CE" w14:textId="5A90F24E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Pr="00BA3222">
              <w:rPr>
                <w:rFonts w:ascii="Times New Roman" w:hAnsi="Times New Roman"/>
              </w:rPr>
              <w:t>Университетски преподаватели / академичен персонал;                         • Изследователи и експерти по образование;</w:t>
            </w:r>
          </w:p>
          <w:p w14:paraId="09AFF15D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Педагогически специалисти;</w:t>
            </w:r>
          </w:p>
          <w:p w14:paraId="3DCB20C1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Ментори и обучители</w:t>
            </w:r>
          </w:p>
        </w:tc>
        <w:tc>
          <w:tcPr>
            <w:tcW w:w="2451" w:type="dxa"/>
          </w:tcPr>
          <w:p w14:paraId="34B45DC7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Обучителни сесии за ментори и училища</w:t>
            </w:r>
            <w:r w:rsidRPr="00BA3222">
              <w:rPr>
                <w:rFonts w:ascii="Times New Roman" w:hAnsi="Times New Roman"/>
              </w:rPr>
              <w:br/>
              <w:t>• План за обмен на добри практики и ресурси</w:t>
            </w:r>
            <w:r w:rsidRPr="00BA3222">
              <w:rPr>
                <w:rFonts w:ascii="Times New Roman" w:hAnsi="Times New Roman"/>
              </w:rPr>
              <w:br/>
              <w:t>• Организиране на мрежови и тренингови формати</w:t>
            </w:r>
          </w:p>
        </w:tc>
        <w:tc>
          <w:tcPr>
            <w:tcW w:w="1965" w:type="dxa"/>
          </w:tcPr>
          <w:p w14:paraId="539E7436" w14:textId="5C991BB0" w:rsidR="006D4367" w:rsidRPr="00BA3222" w:rsidRDefault="006D4367" w:rsidP="006D4367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Pr="00BA3222">
              <w:rPr>
                <w:rFonts w:ascii="Times New Roman" w:hAnsi="Times New Roman"/>
              </w:rPr>
              <w:t>Университетски преподаватели / академичен персонал;</w:t>
            </w:r>
          </w:p>
          <w:p w14:paraId="00DD1E27" w14:textId="77777777" w:rsidR="006D4367" w:rsidRPr="00BA3222" w:rsidRDefault="006D4367" w:rsidP="006D4367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Ментори</w:t>
            </w:r>
          </w:p>
          <w:p w14:paraId="067E6567" w14:textId="3DDA6C2D" w:rsidR="00A41C5A" w:rsidRPr="00BA3222" w:rsidRDefault="006D4367" w:rsidP="006D4367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 xml:space="preserve">• Педагогически специалисти                 </w:t>
            </w:r>
          </w:p>
        </w:tc>
      </w:tr>
      <w:tr w:rsidR="00801346" w:rsidRPr="00D50016" w14:paraId="11049D44" w14:textId="77777777" w:rsidTr="00BA3222">
        <w:tc>
          <w:tcPr>
            <w:tcW w:w="1608" w:type="dxa"/>
          </w:tcPr>
          <w:p w14:paraId="6433C187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Development of methodological frameworks</w:t>
            </w:r>
          </w:p>
        </w:tc>
        <w:tc>
          <w:tcPr>
            <w:tcW w:w="2679" w:type="dxa"/>
          </w:tcPr>
          <w:p w14:paraId="30944AAF" w14:textId="2667E69F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Координационни и подпомагащи действия (CSA): разработване на методологии, насоки, ръководства, пътни карти</w:t>
            </w:r>
            <w:r w:rsidRPr="00BA3222">
              <w:rPr>
                <w:rFonts w:ascii="Times New Roman" w:hAnsi="Times New Roman"/>
              </w:rPr>
              <w:br/>
              <w:t>• Проучвания и взаимно учене</w:t>
            </w:r>
            <w:r w:rsidRPr="00BA3222">
              <w:rPr>
                <w:rFonts w:ascii="Times New Roman" w:hAnsi="Times New Roman"/>
              </w:rPr>
              <w:br/>
              <w:t>• Координация и стандартизиране</w:t>
            </w:r>
            <w:r w:rsidRPr="00BA3222">
              <w:rPr>
                <w:rFonts w:ascii="Times New Roman" w:hAnsi="Times New Roman"/>
              </w:rPr>
              <w:br/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Pr="00BA3222">
              <w:rPr>
                <w:rFonts w:ascii="Times New Roman" w:hAnsi="Times New Roman"/>
              </w:rPr>
              <w:t>Създаване/обновяване на бази данни и ресурси</w:t>
            </w:r>
          </w:p>
        </w:tc>
        <w:tc>
          <w:tcPr>
            <w:tcW w:w="1965" w:type="dxa"/>
          </w:tcPr>
          <w:p w14:paraId="4401F1F7" w14:textId="5B088859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Pr="00BA3222">
              <w:rPr>
                <w:rFonts w:ascii="Times New Roman" w:hAnsi="Times New Roman"/>
              </w:rPr>
              <w:t>Университетски преподаватели / академичен персонал;</w:t>
            </w:r>
          </w:p>
          <w:p w14:paraId="19AC7B22" w14:textId="7B071DA0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</w:t>
            </w:r>
            <w:r w:rsidR="00801346" w:rsidRPr="00D50016">
              <w:rPr>
                <w:rFonts w:ascii="Times New Roman" w:hAnsi="Times New Roman"/>
              </w:rPr>
              <w:t xml:space="preserve"> </w:t>
            </w:r>
            <w:r w:rsidRPr="00BA3222">
              <w:rPr>
                <w:rFonts w:ascii="Times New Roman" w:hAnsi="Times New Roman"/>
              </w:rPr>
              <w:t>Изследователи и експерти по образование</w:t>
            </w:r>
          </w:p>
        </w:tc>
        <w:tc>
          <w:tcPr>
            <w:tcW w:w="2451" w:type="dxa"/>
          </w:tcPr>
          <w:p w14:paraId="08FC7822" w14:textId="77777777" w:rsidR="00A41C5A" w:rsidRPr="00BA3222" w:rsidRDefault="00A41C5A" w:rsidP="005C02BD">
            <w:pPr>
              <w:rPr>
                <w:rFonts w:ascii="Times New Roman" w:hAnsi="Times New Roman"/>
              </w:rPr>
            </w:pPr>
            <w:r w:rsidRPr="00BA3222">
              <w:rPr>
                <w:rFonts w:ascii="Times New Roman" w:hAnsi="Times New Roman"/>
              </w:rPr>
              <w:t>• Методология за менторство и коучинг</w:t>
            </w:r>
            <w:r w:rsidRPr="00BA3222">
              <w:rPr>
                <w:rFonts w:ascii="Times New Roman" w:hAnsi="Times New Roman"/>
              </w:rPr>
              <w:br/>
              <w:t>• Методически насоки за работа на експертите с менторите и на менторите с училищата</w:t>
            </w:r>
            <w:r w:rsidRPr="00BA3222">
              <w:rPr>
                <w:rFonts w:ascii="Times New Roman" w:hAnsi="Times New Roman"/>
              </w:rPr>
              <w:br/>
              <w:t>• Банка с ресурси/инструменти за менторство</w:t>
            </w:r>
          </w:p>
        </w:tc>
        <w:tc>
          <w:tcPr>
            <w:tcW w:w="1965" w:type="dxa"/>
          </w:tcPr>
          <w:p w14:paraId="51BD01BE" w14:textId="607DFE7E" w:rsidR="00801346" w:rsidRPr="002B5A90" w:rsidRDefault="00801346" w:rsidP="00801346">
            <w:pPr>
              <w:rPr>
                <w:rFonts w:ascii="Times New Roman" w:hAnsi="Times New Roman"/>
              </w:rPr>
            </w:pPr>
            <w:r w:rsidRPr="00D50016">
              <w:rPr>
                <w:rFonts w:ascii="Times New Roman" w:hAnsi="Times New Roman"/>
              </w:rPr>
              <w:t>• Университетски преподаватели / академичен персонал;</w:t>
            </w:r>
          </w:p>
          <w:p w14:paraId="5AF8ACCA" w14:textId="77777777" w:rsidR="00801346" w:rsidRPr="00D50016" w:rsidRDefault="00801346" w:rsidP="00801346">
            <w:pPr>
              <w:rPr>
                <w:rFonts w:ascii="Times New Roman" w:hAnsi="Times New Roman"/>
              </w:rPr>
            </w:pPr>
            <w:r w:rsidRPr="00D50016">
              <w:rPr>
                <w:rFonts w:ascii="Times New Roman" w:hAnsi="Times New Roman"/>
              </w:rPr>
              <w:t>• Ментори</w:t>
            </w:r>
          </w:p>
          <w:p w14:paraId="58996D58" w14:textId="1109A843" w:rsidR="00A41C5A" w:rsidRPr="00BA3222" w:rsidRDefault="00801346" w:rsidP="00801346">
            <w:pPr>
              <w:rPr>
                <w:rFonts w:ascii="Times New Roman" w:hAnsi="Times New Roman"/>
              </w:rPr>
            </w:pPr>
            <w:r w:rsidRPr="00D50016">
              <w:rPr>
                <w:rFonts w:ascii="Times New Roman" w:hAnsi="Times New Roman"/>
              </w:rPr>
              <w:t xml:space="preserve">• Педагогически специалисти                 </w:t>
            </w:r>
          </w:p>
        </w:tc>
      </w:tr>
    </w:tbl>
    <w:p w14:paraId="41C1987E" w14:textId="77777777" w:rsidR="00A41C5A" w:rsidRPr="00BA3222" w:rsidRDefault="00A41C5A" w:rsidP="00A41C5A">
      <w:pPr>
        <w:rPr>
          <w:rFonts w:ascii="Times New Roman" w:hAnsi="Times New Roman"/>
        </w:rPr>
      </w:pPr>
    </w:p>
    <w:p w14:paraId="01CD969B" w14:textId="6EDE3296" w:rsidR="00B46264" w:rsidRDefault="00B46264" w:rsidP="00BA322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462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Поради тази причина е оправдано да се използва обективната информация (данни относно възнаграждение за равностоен труд), която показва средното ниво на възнаграждения за учени от ЕС (без България), използвано при проектите, финансирани </w:t>
      </w:r>
      <w:r w:rsidRPr="00B46264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от Рамковата програма „Хоризонт Европа“. Тази обективна информация е налична на таблото за възнагражденията на учени при проектите, финансирани от Рамковата програма „Хоризонт Европа“ (Horizon dashboard for lump sum evaluations) и се използва при оценката на суми</w:t>
      </w:r>
      <w:r w:rsidR="00EF77E9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Pr="00B462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обосновани от кандидатите при проекти, финансирани от Програма „Хоризонт Европа“. </w:t>
      </w:r>
    </w:p>
    <w:p w14:paraId="6246309C" w14:textId="25E88688" w:rsidR="00D52E57" w:rsidRDefault="00D52E57" w:rsidP="00D52E5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Съгласно таблото за възнагражденията на учени при проектите, финансирани от Рамковата програма „Хоризонт Европа“ (</w:t>
      </w:r>
      <w:r w:rsidRPr="00455DCA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Horizon dashboard for lump sum evaluations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 средните м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>есечн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възнаграждени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експерт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Европейския съюз (без 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>България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–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организации на висшето и средното образование (напр. университети)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към 01.07.2025 г.</w:t>
      </w:r>
      <w:r w:rsidRPr="00BA06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са следните:</w:t>
      </w:r>
    </w:p>
    <w:p w14:paraId="39C3AC9C" w14:textId="007BCDC5" w:rsidR="00D52E57" w:rsidRDefault="00D52E57" w:rsidP="00D52E5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20-и персентил – </w:t>
      </w:r>
      <w:r w:rsidR="00DE3B6F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E3B6F">
        <w:rPr>
          <w:rFonts w:ascii="Times New Roman" w:eastAsia="Times New Roman" w:hAnsi="Times New Roman"/>
          <w:color w:val="000000" w:themeColor="text1"/>
          <w:sz w:val="24"/>
          <w:szCs w:val="24"/>
        </w:rPr>
        <w:t>92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0 евро;</w:t>
      </w:r>
    </w:p>
    <w:p w14:paraId="22C1B1A5" w14:textId="0A783CEE" w:rsidR="00D52E57" w:rsidRDefault="00D52E57" w:rsidP="00D52E5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50-и персентил (медиана) – </w:t>
      </w:r>
      <w:r w:rsidR="00DE3B6F"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E3B6F">
        <w:rPr>
          <w:rFonts w:ascii="Times New Roman" w:eastAsia="Times New Roman" w:hAnsi="Times New Roman"/>
          <w:color w:val="000000" w:themeColor="text1"/>
          <w:sz w:val="24"/>
          <w:szCs w:val="24"/>
        </w:rPr>
        <w:t>36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0 евро;</w:t>
      </w:r>
    </w:p>
    <w:p w14:paraId="7BC8B9AA" w14:textId="30D73750" w:rsidR="00D52E57" w:rsidRDefault="00D52E57" w:rsidP="00D52E5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80-и персентил – </w:t>
      </w:r>
      <w:r w:rsidR="00DE3B6F">
        <w:rPr>
          <w:rFonts w:ascii="Times New Roman" w:eastAsia="Times New Roman" w:hAnsi="Times New Roman"/>
          <w:color w:val="000000" w:themeColor="text1"/>
          <w:sz w:val="24"/>
          <w:szCs w:val="24"/>
        </w:rPr>
        <w:t>6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E3B6F">
        <w:rPr>
          <w:rFonts w:ascii="Times New Roman" w:eastAsia="Times New Roman" w:hAnsi="Times New Roman"/>
          <w:color w:val="000000" w:themeColor="text1"/>
          <w:sz w:val="24"/>
          <w:szCs w:val="24"/>
        </w:rPr>
        <w:t>82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0 евро </w:t>
      </w:r>
    </w:p>
    <w:p w14:paraId="436B6BBD" w14:textId="77777777" w:rsidR="00D85573" w:rsidRDefault="00D85573" w:rsidP="00BA322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 определяне на приложимия единичен разход ще се използва медианната стойност (50-ия персентил).</w:t>
      </w:r>
    </w:p>
    <w:p w14:paraId="137D9D16" w14:textId="5D633BF5" w:rsidR="006027EB" w:rsidRPr="006027EB" w:rsidRDefault="00D52E57" w:rsidP="006027EB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При изчисляване на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допустимите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разходи за възнаграждения на </w:t>
      </w:r>
      <w:r w:rsidRPr="0082648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учени (или университетски преподаватели) </w:t>
      </w:r>
      <w:r w:rsidR="00D855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от Европейския съюз</w:t>
      </w:r>
      <w:r w:rsidR="001E50B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 които оказват методическа подкрепа за</w:t>
      </w:r>
      <w:r w:rsidR="00D855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82648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прилагането на компетентностния подход</w:t>
      </w:r>
      <w:r w:rsidR="00355A3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</w:t>
      </w:r>
      <w:r w:rsidRPr="0082648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ще се прилага </w:t>
      </w:r>
      <w:r w:rsidR="006027EB" w:rsidRP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единичен разход от 73 лв. (37 евро) за 1 отработен астрономически час</w:t>
      </w:r>
      <w:r w:rsid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</w:t>
      </w:r>
      <w:r w:rsidR="006027EB" w:rsidRP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Единичният разход е изчислен като </w:t>
      </w:r>
      <w:r w:rsid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месечния </w:t>
      </w:r>
      <w:r w:rsidR="006027EB" w:rsidRP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единичен разход от 10 483 лв. (5 360 евро) за 1 отработен месец при заетост от 8 часа на ден</w:t>
      </w:r>
      <w:r w:rsid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6027EB" w:rsidRPr="006027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за 12 пълни месеца се раздели на средния годишен брой отработени часове – 1720 съгласно чл. 55, параграф 2 от Регламент (ЕС) 2021/1060.</w:t>
      </w:r>
    </w:p>
    <w:p w14:paraId="09F56CD3" w14:textId="3CEFF044" w:rsidR="00FA4099" w:rsidRPr="005C02BD" w:rsidRDefault="00FA4099" w:rsidP="00BA322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При изчисляване на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допустимите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разходи за възнаграждения на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б</w:t>
      </w:r>
      <w:r w:rsidRPr="0082648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ългарски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те</w:t>
      </w:r>
      <w:r w:rsidRPr="0082648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учени (или университетски преподаватели) с познания за прилагането на компетентностния подход </w:t>
      </w:r>
      <w:r w:rsidRPr="5E51AA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ще се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прилага единичен разход </w:t>
      </w:r>
      <w:r w:rsidR="004651C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3.28 от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3577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5</w:t>
      </w:r>
      <w:r w:rsidR="005F54A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0,60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лв. (2</w:t>
      </w:r>
      <w:r w:rsidR="003577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6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евро)</w:t>
      </w:r>
      <w:r w:rsidRPr="00097CE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за 1 отработен астрономически час. </w:t>
      </w:r>
    </w:p>
    <w:p w14:paraId="75647A56" w14:textId="4625730D" w:rsidR="00143FFD" w:rsidRDefault="00143FFD" w:rsidP="00BA322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Единичните разходи </w:t>
      </w:r>
      <w:r w:rsidR="00C1061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възнаграждения на наетите експерти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са изчислени въз основа на разходи по трудови правоотношения и включват разходи за възнаграждения и осигурителни вноски за сметка на осигурителя.</w:t>
      </w:r>
    </w:p>
    <w:p w14:paraId="0ABE1A2C" w14:textId="19A8A23B" w:rsidR="006B0555" w:rsidRDefault="00E83924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Изчисленията са описани в приложения файл </w:t>
      </w:r>
      <w:r w:rsidR="0024404B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2.001-Актуализиране</w:t>
      </w:r>
      <w:r w:rsidR="00783758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-КМ</w:t>
      </w:r>
      <w:r w:rsidR="0024404B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="0024404B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xls.</w:t>
      </w:r>
    </w:p>
    <w:p w14:paraId="6826D7F0" w14:textId="42C19AF1" w:rsidR="005F605E" w:rsidRDefault="00EC0515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002FD111" w14:textId="77777777" w:rsidR="00AE6850" w:rsidRPr="009F251A" w:rsidRDefault="00AE6850" w:rsidP="00AE6850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Периодич</w:t>
      </w:r>
      <w:r w:rsidRPr="009F251A">
        <w:rPr>
          <w:rFonts w:ascii="Times New Roman" w:hAnsi="Times New Roman"/>
          <w:b/>
          <w:bCs/>
          <w:iCs/>
          <w:sz w:val="24"/>
          <w:szCs w:val="24"/>
        </w:rPr>
        <w:t xml:space="preserve">но актуализиране на </w:t>
      </w:r>
      <w:r>
        <w:rPr>
          <w:rFonts w:ascii="Times New Roman" w:hAnsi="Times New Roman"/>
          <w:b/>
          <w:bCs/>
          <w:iCs/>
          <w:sz w:val="24"/>
          <w:szCs w:val="24"/>
        </w:rPr>
        <w:t>единичните разходи за възнаграждения</w:t>
      </w:r>
    </w:p>
    <w:p w14:paraId="45743318" w14:textId="33342053" w:rsidR="00AE6850" w:rsidRPr="009F251A" w:rsidRDefault="00AE6850" w:rsidP="00BA3222">
      <w:pPr>
        <w:spacing w:before="360" w:after="12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F251A">
        <w:rPr>
          <w:rFonts w:ascii="Times New Roman" w:hAnsi="Times New Roman"/>
          <w:iCs/>
          <w:sz w:val="24"/>
          <w:szCs w:val="24"/>
        </w:rPr>
        <w:t xml:space="preserve">При публикуването на нови данни от </w:t>
      </w:r>
      <w:r w:rsidR="004B0E28">
        <w:rPr>
          <w:rFonts w:ascii="Times New Roman" w:hAnsi="Times New Roman"/>
          <w:iCs/>
          <w:sz w:val="24"/>
          <w:szCs w:val="24"/>
        </w:rPr>
        <w:t xml:space="preserve">НСИ или </w:t>
      </w:r>
      <w:r>
        <w:rPr>
          <w:rFonts w:ascii="Times New Roman" w:hAnsi="Times New Roman"/>
          <w:iCs/>
          <w:sz w:val="24"/>
          <w:szCs w:val="24"/>
        </w:rPr>
        <w:t xml:space="preserve">Евростат </w:t>
      </w:r>
      <w:r w:rsidR="00204CDC" w:rsidRPr="00204CDC">
        <w:rPr>
          <w:rFonts w:ascii="Times New Roman" w:hAnsi="Times New Roman"/>
          <w:iCs/>
          <w:sz w:val="24"/>
          <w:szCs w:val="24"/>
        </w:rPr>
        <w:t>(средна годишна промяна на индекса на разходите за труд в сектор „Образование“ спрямо базовата 2024 година)</w:t>
      </w:r>
      <w:r w:rsidR="00204CDC">
        <w:rPr>
          <w:rFonts w:ascii="Times New Roman" w:hAnsi="Times New Roman"/>
          <w:iCs/>
          <w:sz w:val="24"/>
          <w:szCs w:val="24"/>
        </w:rPr>
        <w:t xml:space="preserve"> </w:t>
      </w:r>
      <w:r w:rsidR="00134BE6">
        <w:rPr>
          <w:rFonts w:ascii="Times New Roman" w:hAnsi="Times New Roman"/>
          <w:iCs/>
          <w:sz w:val="24"/>
          <w:szCs w:val="24"/>
        </w:rPr>
        <w:t xml:space="preserve">или </w:t>
      </w:r>
      <w:r w:rsidR="00724F44">
        <w:rPr>
          <w:rFonts w:ascii="Times New Roman" w:hAnsi="Times New Roman"/>
          <w:iCs/>
          <w:sz w:val="24"/>
          <w:szCs w:val="24"/>
        </w:rPr>
        <w:t xml:space="preserve">на </w:t>
      </w:r>
      <w:r w:rsidR="00134BE6">
        <w:rPr>
          <w:rFonts w:ascii="Times New Roman" w:eastAsia="Times New Roman" w:hAnsi="Times New Roman"/>
          <w:color w:val="000000" w:themeColor="text1"/>
          <w:sz w:val="24"/>
          <w:szCs w:val="24"/>
        </w:rPr>
        <w:t>таблото за възнагражденията на учени при проектите, финансирани от Рамковата програма „Хоризонт Европа“ (</w:t>
      </w:r>
      <w:r w:rsidR="00134BE6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Horizon dashboard for lump sum evaluations</w:t>
      </w:r>
      <w:r w:rsidR="00134BE6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EF6DEA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2B2EC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9F251A">
        <w:rPr>
          <w:rFonts w:ascii="Times New Roman" w:hAnsi="Times New Roman"/>
          <w:iCs/>
          <w:sz w:val="24"/>
          <w:szCs w:val="24"/>
        </w:rPr>
        <w:t xml:space="preserve">Управляващият орган </w:t>
      </w:r>
      <w:r>
        <w:rPr>
          <w:rFonts w:ascii="Times New Roman" w:hAnsi="Times New Roman"/>
          <w:iCs/>
          <w:sz w:val="24"/>
          <w:szCs w:val="24"/>
        </w:rPr>
        <w:t xml:space="preserve">може да </w:t>
      </w:r>
      <w:r w:rsidRPr="009F251A">
        <w:rPr>
          <w:rFonts w:ascii="Times New Roman" w:hAnsi="Times New Roman"/>
          <w:iCs/>
          <w:sz w:val="24"/>
          <w:szCs w:val="24"/>
        </w:rPr>
        <w:t>извърш</w:t>
      </w:r>
      <w:r>
        <w:rPr>
          <w:rFonts w:ascii="Times New Roman" w:hAnsi="Times New Roman"/>
          <w:iCs/>
          <w:sz w:val="24"/>
          <w:szCs w:val="24"/>
        </w:rPr>
        <w:t>и</w:t>
      </w:r>
      <w:r w:rsidRPr="009F251A">
        <w:rPr>
          <w:rFonts w:ascii="Times New Roman" w:hAnsi="Times New Roman"/>
          <w:iCs/>
          <w:sz w:val="24"/>
          <w:szCs w:val="24"/>
        </w:rPr>
        <w:t xml:space="preserve"> актуализация на горепосочените </w:t>
      </w:r>
      <w:r>
        <w:rPr>
          <w:rFonts w:ascii="Times New Roman" w:hAnsi="Times New Roman"/>
          <w:iCs/>
          <w:sz w:val="24"/>
          <w:szCs w:val="24"/>
        </w:rPr>
        <w:t>единични разходи</w:t>
      </w:r>
      <w:r w:rsidRPr="009F251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за възнаграждения </w:t>
      </w:r>
      <w:r w:rsidRPr="009F251A">
        <w:rPr>
          <w:rFonts w:ascii="Times New Roman" w:hAnsi="Times New Roman"/>
          <w:iCs/>
          <w:sz w:val="24"/>
          <w:szCs w:val="24"/>
        </w:rPr>
        <w:t xml:space="preserve">като прилага формулите </w:t>
      </w:r>
      <w:r>
        <w:rPr>
          <w:rFonts w:ascii="Times New Roman" w:hAnsi="Times New Roman"/>
          <w:iCs/>
          <w:sz w:val="24"/>
          <w:szCs w:val="24"/>
        </w:rPr>
        <w:t xml:space="preserve">от </w:t>
      </w:r>
      <w:r w:rsidRPr="009F251A">
        <w:rPr>
          <w:rFonts w:ascii="Times New Roman" w:hAnsi="Times New Roman"/>
          <w:iCs/>
          <w:sz w:val="24"/>
          <w:szCs w:val="24"/>
        </w:rPr>
        <w:t xml:space="preserve">файла </w:t>
      </w:r>
      <w:r w:rsidR="00C53856" w:rsidRPr="00C53856">
        <w:rPr>
          <w:rFonts w:ascii="Times New Roman" w:hAnsi="Times New Roman"/>
          <w:i/>
          <w:sz w:val="24"/>
          <w:szCs w:val="24"/>
        </w:rPr>
        <w:t>2.001-</w:t>
      </w:r>
      <w:r w:rsidRPr="00C53856">
        <w:rPr>
          <w:rFonts w:ascii="Times New Roman" w:hAnsi="Times New Roman"/>
          <w:i/>
          <w:sz w:val="24"/>
          <w:szCs w:val="24"/>
        </w:rPr>
        <w:t>Актуализиране</w:t>
      </w:r>
      <w:r w:rsidRPr="009F251A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КМ</w:t>
      </w:r>
      <w:r w:rsidRPr="00933F09">
        <w:rPr>
          <w:rFonts w:ascii="Times New Roman" w:hAnsi="Times New Roman"/>
          <w:i/>
          <w:sz w:val="24"/>
          <w:szCs w:val="24"/>
        </w:rPr>
        <w:t>.</w:t>
      </w:r>
      <w:r w:rsidRPr="009F251A">
        <w:rPr>
          <w:rFonts w:ascii="Times New Roman" w:hAnsi="Times New Roman"/>
          <w:i/>
          <w:sz w:val="24"/>
          <w:szCs w:val="24"/>
          <w:lang w:val="en-US"/>
        </w:rPr>
        <w:t>xls</w:t>
      </w:r>
      <w:r>
        <w:rPr>
          <w:rFonts w:ascii="Times New Roman" w:hAnsi="Times New Roman"/>
          <w:iCs/>
          <w:sz w:val="24"/>
          <w:szCs w:val="24"/>
        </w:rPr>
        <w:t xml:space="preserve"> и приложение ТЕРЕС-ПО.</w:t>
      </w:r>
    </w:p>
    <w:p w14:paraId="5D0E2D45" w14:textId="44590BD3" w:rsidR="0025247A" w:rsidRDefault="0025247A" w:rsidP="00BA3222">
      <w:pPr>
        <w:spacing w:after="12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bookmarkStart w:id="7" w:name="_Hlk208916085"/>
      <w:r>
        <w:rPr>
          <w:rFonts w:ascii="Times New Roman" w:hAnsi="Times New Roman"/>
          <w:iCs/>
          <w:sz w:val="24"/>
          <w:szCs w:val="24"/>
        </w:rPr>
        <w:t>Първата актуализация се извършва през 2026 г. след</w:t>
      </w:r>
      <w:r w:rsidRPr="009F251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публикуването на нови данни от НСИ или Евростат (средна годишна промяна на индекса на разходите за труд в сектор „Образование“ спрямо базовата </w:t>
      </w:r>
      <w:r w:rsidRPr="00472D04">
        <w:rPr>
          <w:rFonts w:ascii="Times New Roman" w:hAnsi="Times New Roman"/>
          <w:iCs/>
          <w:sz w:val="24"/>
          <w:szCs w:val="24"/>
        </w:rPr>
        <w:t>202</w:t>
      </w:r>
      <w:r>
        <w:rPr>
          <w:rFonts w:ascii="Times New Roman" w:hAnsi="Times New Roman"/>
          <w:iCs/>
          <w:sz w:val="24"/>
          <w:szCs w:val="24"/>
        </w:rPr>
        <w:t>4</w:t>
      </w:r>
      <w:r w:rsidRPr="00472D04">
        <w:rPr>
          <w:rFonts w:ascii="Times New Roman" w:hAnsi="Times New Roman"/>
          <w:iCs/>
          <w:sz w:val="24"/>
          <w:szCs w:val="24"/>
        </w:rPr>
        <w:t xml:space="preserve"> година</w:t>
      </w:r>
      <w:r>
        <w:rPr>
          <w:rFonts w:ascii="Times New Roman" w:hAnsi="Times New Roman"/>
          <w:iCs/>
          <w:sz w:val="24"/>
          <w:szCs w:val="24"/>
        </w:rPr>
        <w:t xml:space="preserve"> – за единичн</w:t>
      </w:r>
      <w:r w:rsidR="00514CA2">
        <w:rPr>
          <w:rFonts w:ascii="Times New Roman" w:hAnsi="Times New Roman"/>
          <w:iCs/>
          <w:sz w:val="24"/>
          <w:szCs w:val="24"/>
        </w:rPr>
        <w:t>и</w:t>
      </w:r>
      <w:r>
        <w:rPr>
          <w:rFonts w:ascii="Times New Roman" w:hAnsi="Times New Roman"/>
          <w:iCs/>
          <w:sz w:val="24"/>
          <w:szCs w:val="24"/>
        </w:rPr>
        <w:t xml:space="preserve"> разход</w:t>
      </w:r>
      <w:r w:rsidR="00514CA2">
        <w:rPr>
          <w:rFonts w:ascii="Times New Roman" w:hAnsi="Times New Roman"/>
          <w:iCs/>
          <w:sz w:val="24"/>
          <w:szCs w:val="24"/>
        </w:rPr>
        <w:t>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514CA2">
        <w:rPr>
          <w:rFonts w:ascii="Times New Roman" w:hAnsi="Times New Roman"/>
          <w:iCs/>
          <w:sz w:val="24"/>
          <w:szCs w:val="24"/>
        </w:rPr>
        <w:t>3.27-</w:t>
      </w:r>
      <w:r>
        <w:rPr>
          <w:rFonts w:ascii="Times New Roman" w:hAnsi="Times New Roman"/>
          <w:iCs/>
          <w:sz w:val="24"/>
          <w:szCs w:val="24"/>
        </w:rPr>
        <w:t>3.29</w:t>
      </w:r>
      <w:r w:rsidRPr="00472D04">
        <w:rPr>
          <w:rFonts w:ascii="Times New Roman" w:hAnsi="Times New Roman"/>
          <w:iCs/>
          <w:sz w:val="24"/>
          <w:szCs w:val="24"/>
        </w:rPr>
        <w:t>)</w:t>
      </w:r>
      <w:r w:rsidR="00635195">
        <w:rPr>
          <w:rFonts w:ascii="Times New Roman" w:hAnsi="Times New Roman"/>
          <w:iCs/>
          <w:sz w:val="24"/>
          <w:szCs w:val="24"/>
        </w:rPr>
        <w:t xml:space="preserve">, като </w:t>
      </w:r>
      <w:r w:rsidR="00DE0968">
        <w:rPr>
          <w:rFonts w:ascii="Times New Roman" w:hAnsi="Times New Roman"/>
          <w:iCs/>
          <w:sz w:val="24"/>
          <w:szCs w:val="24"/>
        </w:rPr>
        <w:t xml:space="preserve">по този начин предварителната </w:t>
      </w:r>
      <w:r w:rsidR="00C07792">
        <w:rPr>
          <w:rFonts w:ascii="Times New Roman" w:hAnsi="Times New Roman"/>
          <w:iCs/>
          <w:sz w:val="24"/>
          <w:szCs w:val="24"/>
        </w:rPr>
        <w:t xml:space="preserve">прогнозна </w:t>
      </w:r>
      <w:r w:rsidR="00DE0968">
        <w:rPr>
          <w:rFonts w:ascii="Times New Roman" w:hAnsi="Times New Roman"/>
          <w:iCs/>
          <w:sz w:val="24"/>
          <w:szCs w:val="24"/>
        </w:rPr>
        <w:t>индексация от 15 %</w:t>
      </w:r>
      <w:r w:rsidR="00C03C9E">
        <w:rPr>
          <w:rFonts w:ascii="Times New Roman" w:hAnsi="Times New Roman"/>
          <w:iCs/>
          <w:sz w:val="24"/>
          <w:szCs w:val="24"/>
        </w:rPr>
        <w:t>, извършена от УО, се заменя с</w:t>
      </w:r>
      <w:r w:rsidR="004A53E8">
        <w:rPr>
          <w:rFonts w:ascii="Times New Roman" w:hAnsi="Times New Roman"/>
          <w:iCs/>
          <w:sz w:val="24"/>
          <w:szCs w:val="24"/>
        </w:rPr>
        <w:t xml:space="preserve"> реална индексация</w:t>
      </w:r>
      <w:r w:rsidR="005763DB">
        <w:rPr>
          <w:rFonts w:ascii="Times New Roman" w:hAnsi="Times New Roman"/>
          <w:iCs/>
          <w:sz w:val="24"/>
          <w:szCs w:val="24"/>
        </w:rPr>
        <w:t>, ко</w:t>
      </w:r>
      <w:r w:rsidR="004A53E8">
        <w:rPr>
          <w:rFonts w:ascii="Times New Roman" w:hAnsi="Times New Roman"/>
          <w:iCs/>
          <w:sz w:val="24"/>
          <w:szCs w:val="24"/>
        </w:rPr>
        <w:t>я</w:t>
      </w:r>
      <w:r w:rsidR="005763DB">
        <w:rPr>
          <w:rFonts w:ascii="Times New Roman" w:hAnsi="Times New Roman"/>
          <w:iCs/>
          <w:sz w:val="24"/>
          <w:szCs w:val="24"/>
        </w:rPr>
        <w:t xml:space="preserve">то </w:t>
      </w:r>
      <w:r w:rsidR="00BF21EC">
        <w:rPr>
          <w:rFonts w:ascii="Times New Roman" w:hAnsi="Times New Roman"/>
          <w:iCs/>
          <w:sz w:val="24"/>
          <w:szCs w:val="24"/>
        </w:rPr>
        <w:t>с</w:t>
      </w:r>
      <w:r w:rsidR="004A53E8">
        <w:rPr>
          <w:rFonts w:ascii="Times New Roman" w:hAnsi="Times New Roman"/>
          <w:iCs/>
          <w:sz w:val="24"/>
          <w:szCs w:val="24"/>
        </w:rPr>
        <w:t>е</w:t>
      </w:r>
      <w:r w:rsidR="005763DB">
        <w:rPr>
          <w:rFonts w:ascii="Times New Roman" w:hAnsi="Times New Roman"/>
          <w:iCs/>
          <w:sz w:val="24"/>
          <w:szCs w:val="24"/>
        </w:rPr>
        <w:t xml:space="preserve"> основа</w:t>
      </w:r>
      <w:r w:rsidR="00BF21EC">
        <w:rPr>
          <w:rFonts w:ascii="Times New Roman" w:hAnsi="Times New Roman"/>
          <w:iCs/>
          <w:sz w:val="24"/>
          <w:szCs w:val="24"/>
        </w:rPr>
        <w:t>ва</w:t>
      </w:r>
      <w:r w:rsidR="005763DB">
        <w:rPr>
          <w:rFonts w:ascii="Times New Roman" w:hAnsi="Times New Roman"/>
          <w:iCs/>
          <w:sz w:val="24"/>
          <w:szCs w:val="24"/>
        </w:rPr>
        <w:t xml:space="preserve"> на </w:t>
      </w:r>
      <w:r w:rsidR="00FB0B43">
        <w:rPr>
          <w:rFonts w:ascii="Times New Roman" w:hAnsi="Times New Roman"/>
          <w:iCs/>
          <w:sz w:val="24"/>
          <w:szCs w:val="24"/>
        </w:rPr>
        <w:t>индекс</w:t>
      </w:r>
      <w:r w:rsidR="00BF21EC">
        <w:rPr>
          <w:rFonts w:ascii="Times New Roman" w:hAnsi="Times New Roman"/>
          <w:iCs/>
          <w:sz w:val="24"/>
          <w:szCs w:val="24"/>
        </w:rPr>
        <w:t>а</w:t>
      </w:r>
      <w:r w:rsidR="00FB0B43">
        <w:rPr>
          <w:rFonts w:ascii="Times New Roman" w:hAnsi="Times New Roman"/>
          <w:iCs/>
          <w:sz w:val="24"/>
          <w:szCs w:val="24"/>
        </w:rPr>
        <w:t xml:space="preserve"> на разходите за труд </w:t>
      </w:r>
      <w:r w:rsidR="005E24F3">
        <w:rPr>
          <w:rFonts w:ascii="Times New Roman" w:hAnsi="Times New Roman"/>
          <w:iCs/>
          <w:sz w:val="24"/>
          <w:szCs w:val="24"/>
        </w:rPr>
        <w:t>за</w:t>
      </w:r>
      <w:r w:rsidR="00FB0B43">
        <w:rPr>
          <w:rFonts w:ascii="Times New Roman" w:hAnsi="Times New Roman"/>
          <w:iCs/>
          <w:sz w:val="24"/>
          <w:szCs w:val="24"/>
        </w:rPr>
        <w:t xml:space="preserve"> 2025 г.</w:t>
      </w:r>
    </w:p>
    <w:bookmarkEnd w:id="7"/>
    <w:p w14:paraId="15D90939" w14:textId="1D4C9D52" w:rsidR="00AE6850" w:rsidRPr="00C8016C" w:rsidRDefault="00AE6850" w:rsidP="00BA3222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 xml:space="preserve">Новите размери на </w:t>
      </w:r>
      <w:r>
        <w:rPr>
          <w:rFonts w:ascii="Times New Roman" w:hAnsi="Times New Roman"/>
          <w:iCs/>
          <w:sz w:val="24"/>
          <w:szCs w:val="24"/>
        </w:rPr>
        <w:t>единичните разходи</w:t>
      </w:r>
      <w:r w:rsidRPr="009F251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за възнаграждения </w:t>
      </w:r>
      <w:r w:rsidRPr="009F251A">
        <w:rPr>
          <w:rFonts w:ascii="Times New Roman" w:hAnsi="Times New Roman"/>
          <w:sz w:val="24"/>
          <w:szCs w:val="24"/>
        </w:rPr>
        <w:t xml:space="preserve">се публикуват на сайта на УО и до бенефициента се изпраща съобщение през модул „Кореспонденция“ на ИСУН. Актуализираните </w:t>
      </w:r>
      <w:r>
        <w:rPr>
          <w:rFonts w:ascii="Times New Roman" w:hAnsi="Times New Roman"/>
          <w:iCs/>
          <w:sz w:val="24"/>
          <w:szCs w:val="24"/>
        </w:rPr>
        <w:t xml:space="preserve">единични разходи за възнаграждения </w:t>
      </w:r>
      <w:r w:rsidRPr="009F251A">
        <w:rPr>
          <w:rFonts w:ascii="Times New Roman" w:hAnsi="Times New Roman"/>
          <w:sz w:val="24"/>
          <w:szCs w:val="24"/>
        </w:rPr>
        <w:t xml:space="preserve">се прилагат </w:t>
      </w:r>
      <w:r w:rsidR="00B05AF9">
        <w:rPr>
          <w:rFonts w:ascii="Times New Roman" w:hAnsi="Times New Roman"/>
          <w:sz w:val="24"/>
          <w:szCs w:val="24"/>
        </w:rPr>
        <w:t>от дата</w:t>
      </w:r>
      <w:r w:rsidRPr="009F251A">
        <w:rPr>
          <w:rFonts w:ascii="Times New Roman" w:hAnsi="Times New Roman"/>
          <w:sz w:val="24"/>
          <w:szCs w:val="24"/>
        </w:rPr>
        <w:t>, ко</w:t>
      </w:r>
      <w:r w:rsidR="00B05AF9">
        <w:rPr>
          <w:rFonts w:ascii="Times New Roman" w:hAnsi="Times New Roman"/>
          <w:sz w:val="24"/>
          <w:szCs w:val="24"/>
        </w:rPr>
        <w:t>я</w:t>
      </w:r>
      <w:r w:rsidRPr="009F251A">
        <w:rPr>
          <w:rFonts w:ascii="Times New Roman" w:hAnsi="Times New Roman"/>
          <w:sz w:val="24"/>
          <w:szCs w:val="24"/>
        </w:rPr>
        <w:t xml:space="preserve">то </w:t>
      </w:r>
      <w:r w:rsidR="00B05AF9">
        <w:rPr>
          <w:rFonts w:ascii="Times New Roman" w:hAnsi="Times New Roman"/>
          <w:sz w:val="24"/>
          <w:szCs w:val="24"/>
        </w:rPr>
        <w:t>е посочена в съобщението</w:t>
      </w:r>
      <w:r w:rsidR="0071181B">
        <w:rPr>
          <w:rFonts w:ascii="Times New Roman" w:hAnsi="Times New Roman"/>
          <w:sz w:val="24"/>
          <w:szCs w:val="24"/>
        </w:rPr>
        <w:t>, изпратено от</w:t>
      </w:r>
      <w:r>
        <w:rPr>
          <w:rFonts w:ascii="Times New Roman" w:hAnsi="Times New Roman"/>
          <w:sz w:val="24"/>
          <w:szCs w:val="24"/>
        </w:rPr>
        <w:t xml:space="preserve"> УО</w:t>
      </w:r>
      <w:r w:rsidRPr="009F251A">
        <w:rPr>
          <w:rFonts w:ascii="Times New Roman" w:hAnsi="Times New Roman"/>
          <w:sz w:val="24"/>
          <w:szCs w:val="24"/>
        </w:rPr>
        <w:t>.</w:t>
      </w:r>
    </w:p>
    <w:p w14:paraId="5A97A6FE" w14:textId="77777777" w:rsidR="00AE6850" w:rsidRDefault="00AE6850" w:rsidP="00242BE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A349D0E" w14:textId="49A09A88" w:rsidR="00E3395E" w:rsidRPr="009F251A" w:rsidRDefault="00E3395E" w:rsidP="00E3395E">
      <w:pPr>
        <w:pStyle w:val="Style1"/>
        <w:ind w:left="357" w:hanging="357"/>
      </w:pPr>
      <w:r>
        <w:t xml:space="preserve">Определяне на единични разходи за </w:t>
      </w:r>
      <w:r w:rsidR="007358E2">
        <w:t>надбавки</w:t>
      </w:r>
      <w:r w:rsidR="00D4297D">
        <w:t xml:space="preserve"> на участниците в обученията</w:t>
      </w:r>
    </w:p>
    <w:p w14:paraId="2F79FBC7" w14:textId="77777777" w:rsidR="00E3395E" w:rsidRPr="009F251A" w:rsidRDefault="00E3395E" w:rsidP="00E3395E">
      <w:pPr>
        <w:spacing w:after="0" w:line="360" w:lineRule="auto"/>
        <w:ind w:firstLine="709"/>
        <w:jc w:val="both"/>
        <w:rPr>
          <w:rFonts w:ascii="Times New Roman" w:eastAsia="SimSun" w:hAnsi="Times New Roman"/>
          <w:bCs/>
          <w:color w:val="FF0000"/>
          <w:sz w:val="24"/>
          <w:szCs w:val="24"/>
          <w:lang w:eastAsia="zh-CN"/>
        </w:rPr>
      </w:pPr>
    </w:p>
    <w:p w14:paraId="33F6F73D" w14:textId="5C287FB0" w:rsidR="00B20BEA" w:rsidRDefault="006E4F03" w:rsidP="00E3395E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провеждане на </w:t>
      </w:r>
      <w:r w:rsidRPr="00CD75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обучения в България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03F5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използват </w:t>
      </w:r>
      <w:r w:rsidR="00EA3B3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единични разходи за надбавки, които са обосновани и прилагани при други процедури, финансирани </w:t>
      </w:r>
      <w:r w:rsidR="00B20BEA">
        <w:rPr>
          <w:rFonts w:ascii="Times New Roman" w:eastAsia="Times New Roman" w:hAnsi="Times New Roman"/>
          <w:color w:val="000000" w:themeColor="text1"/>
          <w:sz w:val="24"/>
          <w:szCs w:val="24"/>
        </w:rPr>
        <w:t>от ОПНОИР или Програма „Образование“</w:t>
      </w:r>
      <w:r w:rsidR="00E62C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както следва: </w:t>
      </w:r>
    </w:p>
    <w:p w14:paraId="4E5BACB0" w14:textId="5D1C8173" w:rsidR="00DB190E" w:rsidRDefault="00DB190E" w:rsidP="00C20CFF">
      <w:pPr>
        <w:pStyle w:val="ListParagraph"/>
        <w:numPr>
          <w:ilvl w:val="0"/>
          <w:numId w:val="13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разходите за пътуване при обучение на място се прилага сумата от </w:t>
      </w:r>
      <w:r w:rsidR="00ED528C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ED528C"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>лв. на ден на човек</w:t>
      </w:r>
      <w:r w:rsidR="003201C5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4247E0">
        <w:rPr>
          <w:rFonts w:ascii="Times New Roman" w:eastAsia="Times New Roman" w:hAnsi="Times New Roman"/>
          <w:color w:val="000000" w:themeColor="text1"/>
          <w:sz w:val="24"/>
          <w:szCs w:val="24"/>
        </w:rPr>
        <w:t>Тази сума се получава като с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>тойност</w:t>
      </w:r>
      <w:r w:rsidR="002372E0">
        <w:rPr>
          <w:rFonts w:ascii="Times New Roman" w:eastAsia="Times New Roman" w:hAnsi="Times New Roman"/>
          <w:color w:val="000000" w:themeColor="text1"/>
          <w:sz w:val="24"/>
          <w:szCs w:val="24"/>
        </w:rPr>
        <w:t>та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2 лв.</w:t>
      </w:r>
      <w:r w:rsidR="009023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човек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372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която е обоснована </w:t>
      </w:r>
      <w:r w:rsidR="00ED650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през 2018 г. </w:t>
      </w:r>
      <w:r w:rsidR="002372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</w:t>
      </w:r>
      <w:r w:rsidR="009023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 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прилагана при </w:t>
      </w:r>
      <w:r w:rsidR="00C8154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процедури, финансирани от </w:t>
      </w:r>
      <w:r w:rsidRPr="000C2CAC">
        <w:rPr>
          <w:rFonts w:ascii="Times New Roman" w:eastAsia="Times New Roman" w:hAnsi="Times New Roman"/>
          <w:color w:val="000000" w:themeColor="text1"/>
          <w:sz w:val="24"/>
          <w:szCs w:val="24"/>
        </w:rPr>
        <w:t>ОПНОИР</w:t>
      </w:r>
      <w:r w:rsidR="00C8154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D017C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952B5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актуализира като се </w:t>
      </w:r>
      <w:r w:rsidR="00E47F2D">
        <w:rPr>
          <w:rFonts w:ascii="Times New Roman" w:eastAsia="Times New Roman" w:hAnsi="Times New Roman"/>
          <w:color w:val="000000" w:themeColor="text1"/>
          <w:sz w:val="24"/>
          <w:szCs w:val="24"/>
        </w:rPr>
        <w:t>използва</w:t>
      </w:r>
      <w:r w:rsidR="00952B5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83A6E">
        <w:rPr>
          <w:rFonts w:ascii="Times New Roman" w:eastAsia="Times New Roman" w:hAnsi="Times New Roman"/>
          <w:color w:val="000000" w:themeColor="text1"/>
          <w:sz w:val="24"/>
          <w:szCs w:val="24"/>
        </w:rPr>
        <w:t>хармонизирания</w:t>
      </w:r>
      <w:r w:rsidR="00952B5E">
        <w:rPr>
          <w:rFonts w:ascii="Times New Roman" w:eastAsia="Times New Roman" w:hAnsi="Times New Roman"/>
          <w:color w:val="000000" w:themeColor="text1"/>
          <w:sz w:val="24"/>
          <w:szCs w:val="24"/>
        </w:rPr>
        <w:t>т</w:t>
      </w:r>
      <w:r w:rsidR="00F83A6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D528C">
        <w:rPr>
          <w:rFonts w:ascii="Times New Roman" w:eastAsia="Times New Roman" w:hAnsi="Times New Roman"/>
          <w:color w:val="000000" w:themeColor="text1"/>
          <w:sz w:val="24"/>
          <w:szCs w:val="24"/>
        </w:rPr>
        <w:t>индекс</w:t>
      </w:r>
      <w:r w:rsidR="00F83A6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потребителските цени за услуги, свързани с транспорта </w:t>
      </w:r>
      <w:r w:rsidR="003F6A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България </w:t>
      </w:r>
      <w:r w:rsidR="00F83A6E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DD4CE7" w:rsidRPr="00DD4CE7">
        <w:rPr>
          <w:rFonts w:ascii="Times New Roman" w:eastAsia="Times New Roman" w:hAnsi="Times New Roman"/>
          <w:color w:val="000000" w:themeColor="text1"/>
          <w:sz w:val="24"/>
          <w:szCs w:val="24"/>
        </w:rPr>
        <w:t>COICOP 3 цифри = услуги свързани с транспорта (SERV_TRA)</w:t>
      </w:r>
      <w:r w:rsidR="00E47F2D">
        <w:rPr>
          <w:rFonts w:ascii="Times New Roman" w:eastAsia="Times New Roman" w:hAnsi="Times New Roman"/>
          <w:color w:val="000000" w:themeColor="text1"/>
          <w:sz w:val="24"/>
          <w:szCs w:val="24"/>
        </w:rPr>
        <w:t>, за периода 2018-2024.</w:t>
      </w:r>
    </w:p>
    <w:p w14:paraId="1C01B4B7" w14:textId="0488E559" w:rsidR="00B20BEA" w:rsidRDefault="00E62C23" w:rsidP="00C20CFF">
      <w:pPr>
        <w:pStyle w:val="ListParagraph"/>
        <w:numPr>
          <w:ilvl w:val="0"/>
          <w:numId w:val="13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D7514">
        <w:rPr>
          <w:rFonts w:ascii="Times New Roman" w:eastAsia="Times New Roman" w:hAnsi="Times New Roman"/>
          <w:color w:val="000000" w:themeColor="text1"/>
          <w:sz w:val="24"/>
          <w:szCs w:val="24"/>
        </w:rPr>
        <w:t>За разходите за пътуване при изнесено обучение се прилага единичният разход от Програма Еразъм + за пътуване на разстояние 10-99 км</w:t>
      </w:r>
      <w:r w:rsidR="003F5BD8" w:rsidRPr="00CD75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="00DD62E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Диапазонът 10-99 </w:t>
      </w:r>
      <w:r w:rsidR="00DD62EF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км, изчислен съгласно калкулатора на Европейската комисия, </w:t>
      </w:r>
      <w:r w:rsidR="00BE72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покрива </w:t>
      </w:r>
      <w:r w:rsidR="000E5C4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разстоянията до основните университетски градове в България, където </w:t>
      </w:r>
      <w:r w:rsidR="00EF5E65">
        <w:rPr>
          <w:rFonts w:ascii="Times New Roman" w:eastAsia="Times New Roman" w:hAnsi="Times New Roman"/>
          <w:color w:val="000000" w:themeColor="text1"/>
          <w:sz w:val="24"/>
          <w:szCs w:val="24"/>
        </w:rPr>
        <w:t>обикновено се провеждат обученията за съответния регион</w:t>
      </w:r>
      <w:r w:rsidR="00033FF8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2F7618" w:rsidRPr="00CD75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854CB" w:rsidRPr="008854CB">
        <w:rPr>
          <w:rFonts w:ascii="Times New Roman" w:eastAsia="Times New Roman" w:hAnsi="Times New Roman"/>
          <w:color w:val="000000" w:themeColor="text1"/>
          <w:sz w:val="24"/>
          <w:szCs w:val="24"/>
        </w:rPr>
        <w:t>Използваният единичен разход се прилага при проекти за Мобилност на ученици и членове на персонала в училищното образование по Ключово действие 1 от Програма Еразъм + (вж. стр. 121-123 и 135-140 от Ръководството за програма Еразъм+). Конкретните дейности при мобилност на членове на персонала включват: Обмяна на опит чрез наблюдение на работата на колеги; Командировки с цел преподаване или обучение; Курсове и обучения. При сравняване с дейностите по процедура BG05SFPR001-2.001 се установява, че допустимите участници са еднакви, а финансираните дейности са сходни или идентични. Поради тази причина е оправдано единичните разходи за пътуване от Програма Еразъм+ да се използват по процедура BG05SFPR001-2.001. С цел опростяване за всички участници се прилага единичният разход за разстояния от 10 до 99 км.</w:t>
      </w:r>
    </w:p>
    <w:p w14:paraId="3EB25CBF" w14:textId="07F7D392" w:rsidR="000C2CAC" w:rsidRDefault="0080496F" w:rsidP="00C20CFF">
      <w:pPr>
        <w:pStyle w:val="ListParagraph"/>
        <w:numPr>
          <w:ilvl w:val="0"/>
          <w:numId w:val="13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496F">
        <w:rPr>
          <w:rFonts w:ascii="Times New Roman" w:eastAsia="Times New Roman" w:hAnsi="Times New Roman"/>
          <w:color w:val="000000" w:themeColor="text1"/>
          <w:sz w:val="24"/>
          <w:szCs w:val="24"/>
        </w:rPr>
        <w:t>За разходите за дневни се прилагат минималните стойности на дневните пари при командироване с нощувка и без нощувка съгласно чл. 19, ал. 1-2 от Наредбата за командировките в страната</w:t>
      </w:r>
      <w:r w:rsidR="0080605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806050" w:rsidRPr="0098050E">
        <w:rPr>
          <w:rFonts w:ascii="Times New Roman" w:eastAsia="Times New Roman" w:hAnsi="Times New Roman"/>
          <w:color w:val="000000" w:themeColor="text1"/>
          <w:sz w:val="24"/>
          <w:szCs w:val="24"/>
        </w:rPr>
        <w:t>т.е. прилагат се обичайните практики за осчетоводяване на разходите на бенефициента.</w:t>
      </w:r>
    </w:p>
    <w:p w14:paraId="0436828A" w14:textId="203D4E3E" w:rsidR="00B935D8" w:rsidRDefault="00B935D8" w:rsidP="003645DC">
      <w:pPr>
        <w:pStyle w:val="ListParagraph"/>
        <w:numPr>
          <w:ilvl w:val="0"/>
          <w:numId w:val="13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935D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разходите за нощувки се прилага </w:t>
      </w:r>
      <w:r w:rsidR="0098050E" w:rsidRPr="009805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стойността на квартирните пари, която обичайно се възстановява съгласно вътрешните правила на МОН, т.е. прилагат се обичайните практики за осчетоводяване на разходите на бенефициента. Съгласно заповед № РД09-773/28.03.2025 г. разходите за нощувка са в размер до 130 лв. за една нощувка, като се допуска и изплащане на по-висока сума с разрешение на министъра на образованието и науката или главния секретар. Размерът на квартирните разходи, определен в заповед № РД09-773/28.03.2025 г. се прилага и от второстепенните разпоредители с бюджет към министъра на образованието, следователно този размер е представителен за цялата система на училищното образование. Съгласно справка от счетоводната система на МОН </w:t>
      </w:r>
      <w:r w:rsidR="00A35337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A3533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писмо № 0701-174/15.08.2025) </w:t>
      </w:r>
      <w:r w:rsidR="0098050E" w:rsidRPr="009805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периода след 1 април 2025 г., когато се прилага заповед № РД09-773/28.03.2025, средната стойност от цената за нощувка по 245 отчетени заповеди за командировки, е 127,28 лв. за 1 нощувка, </w:t>
      </w:r>
      <w:r w:rsidR="00616183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съответно </w:t>
      </w:r>
      <w:r w:rsidR="00DA5FC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определя </w:t>
      </w:r>
      <w:r w:rsidR="0098050E" w:rsidRPr="009805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единич</w:t>
      </w:r>
      <w:r w:rsidR="00DA5FC0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98050E" w:rsidRPr="0098050E">
        <w:rPr>
          <w:rFonts w:ascii="Times New Roman" w:eastAsia="Times New Roman" w:hAnsi="Times New Roman"/>
          <w:color w:val="000000" w:themeColor="text1"/>
          <w:sz w:val="24"/>
          <w:szCs w:val="24"/>
        </w:rPr>
        <w:t>н разход</w:t>
      </w:r>
      <w:r w:rsidR="00DA5FC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AA7D0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</w:t>
      </w:r>
      <w:r w:rsidR="00F34E15">
        <w:rPr>
          <w:rFonts w:ascii="Times New Roman" w:eastAsia="Times New Roman" w:hAnsi="Times New Roman"/>
          <w:color w:val="000000" w:themeColor="text1"/>
          <w:sz w:val="24"/>
          <w:szCs w:val="24"/>
        </w:rPr>
        <w:t>1 нощувка в България в размер на 12</w:t>
      </w:r>
      <w:r w:rsidR="00963A66">
        <w:rPr>
          <w:rFonts w:ascii="Times New Roman" w:eastAsia="Times New Roman" w:hAnsi="Times New Roman"/>
          <w:color w:val="000000" w:themeColor="text1"/>
          <w:sz w:val="24"/>
          <w:szCs w:val="24"/>
        </w:rPr>
        <w:t>7</w:t>
      </w:r>
      <w:r w:rsidR="00F34E1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лв.</w:t>
      </w:r>
      <w:r w:rsidR="00963A6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(65 евро).</w:t>
      </w:r>
    </w:p>
    <w:p w14:paraId="2947A884" w14:textId="77777777" w:rsidR="00F34E15" w:rsidRPr="003645DC" w:rsidRDefault="00F34E15" w:rsidP="00BA3222">
      <w:pPr>
        <w:pStyle w:val="ListParagraph"/>
        <w:spacing w:before="120" w:after="0" w:line="360" w:lineRule="auto"/>
        <w:ind w:left="1066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1420"/>
        <w:gridCol w:w="1260"/>
      </w:tblGrid>
      <w:tr w:rsidR="00693B38" w:rsidRPr="00693B38" w14:paraId="2C01980C" w14:textId="77777777" w:rsidTr="0019463F">
        <w:trPr>
          <w:trHeight w:val="315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B54415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Определяне на единични разходи за надбавки на участниците в обучения</w:t>
            </w:r>
          </w:p>
        </w:tc>
      </w:tr>
      <w:tr w:rsidR="00693B38" w:rsidRPr="00693B38" w14:paraId="2DF9329E" w14:textId="77777777" w:rsidTr="0019463F">
        <w:trPr>
          <w:trHeight w:val="53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C399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AA1C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Единичен разход - евро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D2BB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Единичен разход - лв.</w:t>
            </w:r>
          </w:p>
        </w:tc>
      </w:tr>
      <w:tr w:rsidR="00693B38" w:rsidRPr="00693B38" w14:paraId="227158E4" w14:textId="77777777" w:rsidTr="0019463F">
        <w:trPr>
          <w:trHeight w:val="557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9357" w14:textId="77777777" w:rsidR="00693B38" w:rsidRPr="00693B38" w:rsidRDefault="00693B38" w:rsidP="00693B3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Пътни за 1 човек (отиване и връщане) - изнесено обучение </w:t>
            </w:r>
            <w:r w:rsidRPr="00693B3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(разстояние 10-99 км)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566F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B465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55</w:t>
            </w:r>
          </w:p>
        </w:tc>
      </w:tr>
      <w:tr w:rsidR="00693B38" w:rsidRPr="00693B38" w14:paraId="4DA7E5F6" w14:textId="77777777" w:rsidTr="0019463F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E044" w14:textId="77777777" w:rsidR="00693B38" w:rsidRPr="00693B38" w:rsidRDefault="00693B38" w:rsidP="00693B3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Пътни за 1 човек, 1 ден - обучение на място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8ECE" w14:textId="77777777" w:rsidR="00693B38" w:rsidRPr="00693B38" w:rsidRDefault="00693B38" w:rsidP="00693B3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69A6" w14:textId="6AEF586B" w:rsidR="00693B38" w:rsidRPr="00693B38" w:rsidRDefault="00B365FD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</w:t>
            </w:r>
          </w:p>
        </w:tc>
      </w:tr>
      <w:tr w:rsidR="00693B38" w:rsidRPr="00693B38" w14:paraId="5B75ED7B" w14:textId="77777777" w:rsidTr="0019463F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F458" w14:textId="77777777" w:rsidR="00693B38" w:rsidRPr="00693B38" w:rsidRDefault="00693B38" w:rsidP="00693B3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Дневни при обучения в България - с нощувки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B5FA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01C6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40</w:t>
            </w:r>
          </w:p>
        </w:tc>
      </w:tr>
      <w:tr w:rsidR="00693B38" w:rsidRPr="00693B38" w14:paraId="20C8024C" w14:textId="77777777" w:rsidTr="0019463F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7EBE" w14:textId="77777777" w:rsidR="00693B38" w:rsidRPr="00693B38" w:rsidRDefault="00693B38" w:rsidP="00693B3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Дневни при обучения в България - без нощувки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30EA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5E72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</w:t>
            </w:r>
          </w:p>
        </w:tc>
      </w:tr>
      <w:tr w:rsidR="00693B38" w:rsidRPr="00693B38" w14:paraId="37E5F77C" w14:textId="77777777" w:rsidTr="0019463F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F101" w14:textId="7B1FEE0A" w:rsidR="00693B38" w:rsidRPr="00693B38" w:rsidRDefault="000B2D04" w:rsidP="00693B3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Разходи за нощувки</w:t>
            </w: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693B38"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при обучения в България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9392" w14:textId="77777777" w:rsidR="00693B38" w:rsidRPr="00693B38" w:rsidRDefault="00693B38" w:rsidP="00693B3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2A93" w14:textId="12FBE880" w:rsidR="00693B38" w:rsidRPr="00693B38" w:rsidRDefault="00594FEC" w:rsidP="00693B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93B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27</w:t>
            </w:r>
          </w:p>
        </w:tc>
      </w:tr>
    </w:tbl>
    <w:p w14:paraId="79EC5069" w14:textId="77777777" w:rsidR="00B20BEA" w:rsidRDefault="00B20BEA" w:rsidP="00E3395E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30C3CC" w14:textId="4A60980B" w:rsidR="00B86DCF" w:rsidRDefault="00B86DCF" w:rsidP="00B86DCF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провеждане на </w:t>
      </w:r>
      <w:r w:rsidRPr="00455DC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обучения в </w:t>
      </w:r>
      <w:r w:rsidR="00BC285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чужбина или гостуване на лектори от чужбина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</w:t>
      </w:r>
      <w:r w:rsidR="00B045DE">
        <w:rPr>
          <w:rFonts w:ascii="Times New Roman" w:eastAsia="Times New Roman" w:hAnsi="Times New Roman"/>
          <w:color w:val="000000" w:themeColor="text1"/>
          <w:sz w:val="24"/>
          <w:szCs w:val="24"/>
        </w:rPr>
        <w:t>прилагат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4A93" w:rsidRPr="002F4A93">
        <w:rPr>
          <w:rFonts w:ascii="Times New Roman" w:eastAsia="Times New Roman" w:hAnsi="Times New Roman"/>
          <w:color w:val="000000" w:themeColor="text1"/>
          <w:sz w:val="24"/>
          <w:szCs w:val="24"/>
        </w:rPr>
        <w:t>единичните разходи съгласно Решение на Европейската комисия С(2021)35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033FF8">
        <w:rPr>
          <w:rFonts w:ascii="Times New Roman" w:eastAsia="Times New Roman" w:hAnsi="Times New Roman"/>
          <w:color w:val="000000" w:themeColor="text1"/>
          <w:sz w:val="24"/>
          <w:szCs w:val="24"/>
        </w:rPr>
        <w:t>които обичайно се използват от експертите</w:t>
      </w:r>
      <w:r w:rsidR="00A8723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или учените при </w:t>
      </w:r>
      <w:r w:rsidR="00820E1C">
        <w:rPr>
          <w:rFonts w:ascii="Times New Roman" w:eastAsia="Times New Roman" w:hAnsi="Times New Roman"/>
          <w:color w:val="000000" w:themeColor="text1"/>
          <w:sz w:val="24"/>
          <w:szCs w:val="24"/>
        </w:rPr>
        <w:t>пътуване и престой в Европейския съюз.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6FF6C60D" w14:textId="292849EA" w:rsidR="00BA06CA" w:rsidRDefault="00E87689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87689">
        <w:rPr>
          <w:rFonts w:ascii="Times New Roman" w:eastAsia="Times New Roman" w:hAnsi="Times New Roman"/>
          <w:color w:val="000000" w:themeColor="text1"/>
          <w:sz w:val="24"/>
          <w:szCs w:val="24"/>
        </w:rPr>
        <w:t>Разстоянията се изчисляват съгласно калкулатора на Е</w:t>
      </w:r>
      <w:r w:rsidR="00CB6EB6">
        <w:rPr>
          <w:rFonts w:ascii="Times New Roman" w:eastAsia="Times New Roman" w:hAnsi="Times New Roman"/>
          <w:color w:val="000000" w:themeColor="text1"/>
          <w:sz w:val="24"/>
          <w:szCs w:val="24"/>
        </w:rPr>
        <w:t>К.</w:t>
      </w:r>
      <w:r w:rsidR="005327E4">
        <w:rPr>
          <w:rStyle w:val="FootnoteReferenc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</w:p>
    <w:p w14:paraId="7A545799" w14:textId="54CF6CA5" w:rsidR="00BA06CA" w:rsidRDefault="00852235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Актуалните е</w:t>
      </w:r>
      <w:r w:rsidR="00BB0D75">
        <w:rPr>
          <w:rFonts w:ascii="Times New Roman" w:eastAsia="Times New Roman" w:hAnsi="Times New Roman"/>
          <w:color w:val="000000" w:themeColor="text1"/>
          <w:sz w:val="24"/>
          <w:szCs w:val="24"/>
        </w:rPr>
        <w:t>динични разходи са описани в</w:t>
      </w:r>
      <w:r w:rsidR="00242BEE">
        <w:rPr>
          <w:rFonts w:ascii="Times New Roman" w:eastAsia="Times New Roman" w:hAnsi="Times New Roman"/>
          <w:color w:val="000000" w:themeColor="text1"/>
          <w:sz w:val="24"/>
          <w:szCs w:val="24"/>
        </w:rPr>
        <w:t>ъв</w:t>
      </w:r>
      <w:r w:rsidR="00BB0D7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файл</w:t>
      </w:r>
      <w:r w:rsidR="00242BEE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="00BB0D7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B0D75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2.001-Актуализиране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-КМ</w:t>
      </w:r>
      <w:r w:rsidR="00BB0D75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="00BB0D75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xls.</w:t>
      </w:r>
    </w:p>
    <w:p w14:paraId="7C90EA0D" w14:textId="77777777" w:rsidR="00242BEE" w:rsidRDefault="00242BEE" w:rsidP="00242BE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5032BB2" w14:textId="77777777" w:rsidR="00DC4670" w:rsidRDefault="00DC4670" w:rsidP="00242BE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CE1BFB2" w14:textId="3E00D680" w:rsidR="00DC4670" w:rsidRPr="009F251A" w:rsidRDefault="00DC4670" w:rsidP="00DC4670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Периодич</w:t>
      </w:r>
      <w:r w:rsidRPr="009F251A">
        <w:rPr>
          <w:rFonts w:ascii="Times New Roman" w:hAnsi="Times New Roman"/>
          <w:b/>
          <w:bCs/>
          <w:iCs/>
          <w:sz w:val="24"/>
          <w:szCs w:val="24"/>
        </w:rPr>
        <w:t xml:space="preserve">но актуализиране на </w:t>
      </w:r>
      <w:r>
        <w:rPr>
          <w:rFonts w:ascii="Times New Roman" w:hAnsi="Times New Roman"/>
          <w:b/>
          <w:bCs/>
          <w:iCs/>
          <w:sz w:val="24"/>
          <w:szCs w:val="24"/>
        </w:rPr>
        <w:t>единичните разходи за надбавки</w:t>
      </w:r>
    </w:p>
    <w:p w14:paraId="7B84072C" w14:textId="5A38AA04" w:rsidR="00DC4670" w:rsidRPr="009F251A" w:rsidRDefault="00DC4670" w:rsidP="00DC4670">
      <w:pPr>
        <w:spacing w:before="360"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F251A">
        <w:rPr>
          <w:rFonts w:ascii="Times New Roman" w:hAnsi="Times New Roman"/>
          <w:iCs/>
          <w:sz w:val="24"/>
          <w:szCs w:val="24"/>
        </w:rPr>
        <w:t xml:space="preserve">При </w:t>
      </w:r>
      <w:r w:rsidR="00050FF9">
        <w:rPr>
          <w:rFonts w:ascii="Times New Roman" w:hAnsi="Times New Roman"/>
          <w:iCs/>
          <w:sz w:val="24"/>
          <w:szCs w:val="24"/>
        </w:rPr>
        <w:t xml:space="preserve">публикуването на нови данни от НСИ или Евростат (средна годишна промяна </w:t>
      </w:r>
      <w:r w:rsidR="00CE00D2">
        <w:rPr>
          <w:rFonts w:ascii="Times New Roman" w:hAnsi="Times New Roman"/>
          <w:iCs/>
          <w:sz w:val="24"/>
          <w:szCs w:val="24"/>
        </w:rPr>
        <w:t xml:space="preserve">на </w:t>
      </w:r>
      <w:r w:rsidR="008A6E3C" w:rsidRPr="008A6E3C">
        <w:rPr>
          <w:rFonts w:ascii="Times New Roman" w:hAnsi="Times New Roman"/>
          <w:iCs/>
          <w:sz w:val="24"/>
          <w:szCs w:val="24"/>
        </w:rPr>
        <w:t xml:space="preserve">хармонизирания индекс на потребителските цени за услуги, свързани с транспорта за България </w:t>
      </w:r>
      <w:r w:rsidR="00C9415B">
        <w:rPr>
          <w:rFonts w:ascii="Times New Roman" w:hAnsi="Times New Roman"/>
          <w:iCs/>
          <w:sz w:val="24"/>
          <w:szCs w:val="24"/>
        </w:rPr>
        <w:t xml:space="preserve">– </w:t>
      </w:r>
      <w:r w:rsidR="008A6E3C" w:rsidRPr="008A6E3C">
        <w:rPr>
          <w:rFonts w:ascii="Times New Roman" w:hAnsi="Times New Roman"/>
          <w:iCs/>
          <w:sz w:val="24"/>
          <w:szCs w:val="24"/>
        </w:rPr>
        <w:t>SERV_TRA</w:t>
      </w:r>
      <w:r w:rsidR="00C9415B">
        <w:rPr>
          <w:rFonts w:ascii="Times New Roman" w:hAnsi="Times New Roman"/>
          <w:iCs/>
          <w:sz w:val="24"/>
          <w:szCs w:val="24"/>
        </w:rPr>
        <w:t>,</w:t>
      </w:r>
      <w:r w:rsidR="00CE00D2">
        <w:rPr>
          <w:rFonts w:ascii="Times New Roman" w:hAnsi="Times New Roman"/>
          <w:iCs/>
          <w:sz w:val="24"/>
          <w:szCs w:val="24"/>
        </w:rPr>
        <w:t xml:space="preserve"> </w:t>
      </w:r>
      <w:r w:rsidR="00050FF9">
        <w:rPr>
          <w:rFonts w:ascii="Times New Roman" w:hAnsi="Times New Roman"/>
          <w:iCs/>
          <w:sz w:val="24"/>
          <w:szCs w:val="24"/>
        </w:rPr>
        <w:t xml:space="preserve">спрямо базовата </w:t>
      </w:r>
      <w:r w:rsidR="00CE00D2">
        <w:rPr>
          <w:rFonts w:ascii="Times New Roman" w:hAnsi="Times New Roman"/>
          <w:iCs/>
          <w:sz w:val="24"/>
          <w:szCs w:val="24"/>
        </w:rPr>
        <w:t xml:space="preserve">2024 </w:t>
      </w:r>
      <w:r w:rsidR="00050FF9">
        <w:rPr>
          <w:rFonts w:ascii="Times New Roman" w:hAnsi="Times New Roman"/>
          <w:iCs/>
          <w:sz w:val="24"/>
          <w:szCs w:val="24"/>
        </w:rPr>
        <w:t>година)</w:t>
      </w:r>
      <w:r w:rsidR="00AA6156">
        <w:rPr>
          <w:rFonts w:ascii="Times New Roman" w:hAnsi="Times New Roman"/>
          <w:iCs/>
          <w:sz w:val="24"/>
          <w:szCs w:val="24"/>
        </w:rPr>
        <w:t xml:space="preserve"> или</w:t>
      </w:r>
      <w:r w:rsidR="00EF1856">
        <w:rPr>
          <w:rFonts w:ascii="Times New Roman" w:hAnsi="Times New Roman"/>
          <w:iCs/>
          <w:sz w:val="24"/>
          <w:szCs w:val="24"/>
        </w:rPr>
        <w:t xml:space="preserve"> </w:t>
      </w:r>
      <w:r w:rsidR="00050FF9">
        <w:rPr>
          <w:rFonts w:ascii="Times New Roman" w:hAnsi="Times New Roman"/>
          <w:iCs/>
          <w:sz w:val="24"/>
          <w:szCs w:val="24"/>
          <w:lang w:val="en-US"/>
        </w:rPr>
        <w:t xml:space="preserve"> </w:t>
      </w:r>
      <w:r w:rsidR="00731396">
        <w:rPr>
          <w:rFonts w:ascii="Times New Roman" w:hAnsi="Times New Roman"/>
          <w:iCs/>
          <w:sz w:val="24"/>
          <w:szCs w:val="24"/>
        </w:rPr>
        <w:t xml:space="preserve">промяна </w:t>
      </w:r>
      <w:r w:rsidR="00D561D2">
        <w:rPr>
          <w:rFonts w:ascii="Times New Roman" w:hAnsi="Times New Roman"/>
          <w:iCs/>
          <w:sz w:val="24"/>
          <w:szCs w:val="24"/>
        </w:rPr>
        <w:t xml:space="preserve">в размерите на единичните разходи, прилагани по Програма Еразъм+, </w:t>
      </w:r>
      <w:r w:rsidR="00AA6156">
        <w:rPr>
          <w:rFonts w:ascii="Times New Roman" w:hAnsi="Times New Roman"/>
          <w:iCs/>
          <w:sz w:val="24"/>
          <w:szCs w:val="24"/>
        </w:rPr>
        <w:t xml:space="preserve">или </w:t>
      </w:r>
      <w:r w:rsidR="00D561D2">
        <w:rPr>
          <w:rFonts w:ascii="Times New Roman" w:hAnsi="Times New Roman"/>
          <w:iCs/>
          <w:sz w:val="24"/>
          <w:szCs w:val="24"/>
        </w:rPr>
        <w:t>промени в</w:t>
      </w:r>
      <w:r w:rsidR="00731396">
        <w:rPr>
          <w:rFonts w:ascii="Times New Roman" w:hAnsi="Times New Roman"/>
          <w:iCs/>
          <w:sz w:val="24"/>
          <w:szCs w:val="24"/>
        </w:rPr>
        <w:t xml:space="preserve"> Наредбата за командировките в страната</w:t>
      </w:r>
      <w:r w:rsidR="00AA6156">
        <w:rPr>
          <w:rFonts w:ascii="Times New Roman" w:hAnsi="Times New Roman"/>
          <w:iCs/>
          <w:sz w:val="24"/>
          <w:szCs w:val="24"/>
        </w:rPr>
        <w:t xml:space="preserve"> или </w:t>
      </w:r>
      <w:r w:rsidR="00677F0B">
        <w:rPr>
          <w:rFonts w:ascii="Times New Roman" w:hAnsi="Times New Roman"/>
          <w:iCs/>
          <w:sz w:val="24"/>
          <w:szCs w:val="24"/>
        </w:rPr>
        <w:t>промени в единичните разходи, прилагани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677F0B" w:rsidRPr="002F4A93">
        <w:rPr>
          <w:rFonts w:ascii="Times New Roman" w:eastAsia="Times New Roman" w:hAnsi="Times New Roman"/>
          <w:color w:val="000000" w:themeColor="text1"/>
          <w:sz w:val="24"/>
          <w:szCs w:val="24"/>
        </w:rPr>
        <w:t>съгласно Решение на Европейската комисия С(2021)35</w:t>
      </w:r>
      <w:r w:rsidR="00B93BE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9F251A">
        <w:rPr>
          <w:rFonts w:ascii="Times New Roman" w:hAnsi="Times New Roman"/>
          <w:iCs/>
          <w:sz w:val="24"/>
          <w:szCs w:val="24"/>
        </w:rPr>
        <w:t xml:space="preserve">Управляващият орган </w:t>
      </w:r>
      <w:r>
        <w:rPr>
          <w:rFonts w:ascii="Times New Roman" w:hAnsi="Times New Roman"/>
          <w:iCs/>
          <w:sz w:val="24"/>
          <w:szCs w:val="24"/>
        </w:rPr>
        <w:t xml:space="preserve">може да </w:t>
      </w:r>
      <w:r w:rsidRPr="009F251A">
        <w:rPr>
          <w:rFonts w:ascii="Times New Roman" w:hAnsi="Times New Roman"/>
          <w:iCs/>
          <w:sz w:val="24"/>
          <w:szCs w:val="24"/>
        </w:rPr>
        <w:t>извърш</w:t>
      </w:r>
      <w:r>
        <w:rPr>
          <w:rFonts w:ascii="Times New Roman" w:hAnsi="Times New Roman"/>
          <w:iCs/>
          <w:sz w:val="24"/>
          <w:szCs w:val="24"/>
        </w:rPr>
        <w:t>и</w:t>
      </w:r>
      <w:r w:rsidRPr="009F251A">
        <w:rPr>
          <w:rFonts w:ascii="Times New Roman" w:hAnsi="Times New Roman"/>
          <w:iCs/>
          <w:sz w:val="24"/>
          <w:szCs w:val="24"/>
        </w:rPr>
        <w:t xml:space="preserve"> актуализация на горепосочените </w:t>
      </w:r>
      <w:r>
        <w:rPr>
          <w:rFonts w:ascii="Times New Roman" w:hAnsi="Times New Roman"/>
          <w:iCs/>
          <w:sz w:val="24"/>
          <w:szCs w:val="24"/>
        </w:rPr>
        <w:t>единични разходи</w:t>
      </w:r>
      <w:r w:rsidRPr="009F251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за </w:t>
      </w:r>
      <w:r w:rsidR="00421692">
        <w:rPr>
          <w:rFonts w:ascii="Times New Roman" w:hAnsi="Times New Roman"/>
          <w:iCs/>
          <w:sz w:val="24"/>
          <w:szCs w:val="24"/>
        </w:rPr>
        <w:t>надбавки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9F251A">
        <w:rPr>
          <w:rFonts w:ascii="Times New Roman" w:hAnsi="Times New Roman"/>
          <w:iCs/>
          <w:sz w:val="24"/>
          <w:szCs w:val="24"/>
        </w:rPr>
        <w:t xml:space="preserve">като прилага формулите </w:t>
      </w:r>
      <w:r>
        <w:rPr>
          <w:rFonts w:ascii="Times New Roman" w:hAnsi="Times New Roman"/>
          <w:iCs/>
          <w:sz w:val="24"/>
          <w:szCs w:val="24"/>
        </w:rPr>
        <w:t xml:space="preserve">от </w:t>
      </w:r>
      <w:r w:rsidRPr="009F251A">
        <w:rPr>
          <w:rFonts w:ascii="Times New Roman" w:hAnsi="Times New Roman"/>
          <w:iCs/>
          <w:sz w:val="24"/>
          <w:szCs w:val="24"/>
        </w:rPr>
        <w:t xml:space="preserve">файла </w:t>
      </w:r>
      <w:r w:rsidRPr="00C53856">
        <w:rPr>
          <w:rFonts w:ascii="Times New Roman" w:hAnsi="Times New Roman"/>
          <w:i/>
          <w:sz w:val="24"/>
          <w:szCs w:val="24"/>
        </w:rPr>
        <w:t>2.001-Актуализиране</w:t>
      </w:r>
      <w:r w:rsidRPr="009F251A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КМ</w:t>
      </w:r>
      <w:r w:rsidRPr="00933F09">
        <w:rPr>
          <w:rFonts w:ascii="Times New Roman" w:hAnsi="Times New Roman"/>
          <w:i/>
          <w:sz w:val="24"/>
          <w:szCs w:val="24"/>
        </w:rPr>
        <w:t>.</w:t>
      </w:r>
      <w:r w:rsidRPr="009F251A">
        <w:rPr>
          <w:rFonts w:ascii="Times New Roman" w:hAnsi="Times New Roman"/>
          <w:i/>
          <w:sz w:val="24"/>
          <w:szCs w:val="24"/>
          <w:lang w:val="en-US"/>
        </w:rPr>
        <w:t>xls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13141866" w14:textId="15F32E59" w:rsidR="00DC4670" w:rsidRPr="00C8016C" w:rsidRDefault="00DC4670" w:rsidP="00DC467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 xml:space="preserve">Новите размери на </w:t>
      </w:r>
      <w:r>
        <w:rPr>
          <w:rFonts w:ascii="Times New Roman" w:hAnsi="Times New Roman"/>
          <w:iCs/>
          <w:sz w:val="24"/>
          <w:szCs w:val="24"/>
        </w:rPr>
        <w:t>единичните разходи</w:t>
      </w:r>
      <w:r w:rsidRPr="009F251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за </w:t>
      </w:r>
      <w:r w:rsidR="00421692">
        <w:rPr>
          <w:rFonts w:ascii="Times New Roman" w:hAnsi="Times New Roman"/>
          <w:iCs/>
          <w:sz w:val="24"/>
          <w:szCs w:val="24"/>
        </w:rPr>
        <w:t xml:space="preserve">надбавки </w:t>
      </w:r>
      <w:r w:rsidRPr="009F251A">
        <w:rPr>
          <w:rFonts w:ascii="Times New Roman" w:hAnsi="Times New Roman"/>
          <w:sz w:val="24"/>
          <w:szCs w:val="24"/>
        </w:rPr>
        <w:t xml:space="preserve">се публикуват на сайта на УО и до бенефициента се изпраща съобщение през модул „Кореспонденция“ на ИСУН. </w:t>
      </w:r>
      <w:r w:rsidRPr="009F251A">
        <w:rPr>
          <w:rFonts w:ascii="Times New Roman" w:hAnsi="Times New Roman"/>
          <w:sz w:val="24"/>
          <w:szCs w:val="24"/>
        </w:rPr>
        <w:lastRenderedPageBreak/>
        <w:t xml:space="preserve">Актуализираните </w:t>
      </w:r>
      <w:r>
        <w:rPr>
          <w:rFonts w:ascii="Times New Roman" w:hAnsi="Times New Roman"/>
          <w:iCs/>
          <w:sz w:val="24"/>
          <w:szCs w:val="24"/>
        </w:rPr>
        <w:t xml:space="preserve">единични разходи за </w:t>
      </w:r>
      <w:r w:rsidR="00500469">
        <w:rPr>
          <w:rFonts w:ascii="Times New Roman" w:hAnsi="Times New Roman"/>
          <w:iCs/>
          <w:sz w:val="24"/>
          <w:szCs w:val="24"/>
        </w:rPr>
        <w:t>надбавки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9F251A">
        <w:rPr>
          <w:rFonts w:ascii="Times New Roman" w:hAnsi="Times New Roman"/>
          <w:sz w:val="24"/>
          <w:szCs w:val="24"/>
        </w:rPr>
        <w:t xml:space="preserve">се прилагат </w:t>
      </w:r>
      <w:r>
        <w:rPr>
          <w:rFonts w:ascii="Times New Roman" w:hAnsi="Times New Roman"/>
          <w:sz w:val="24"/>
          <w:szCs w:val="24"/>
        </w:rPr>
        <w:t>от дата</w:t>
      </w:r>
      <w:r w:rsidRPr="009F251A">
        <w:rPr>
          <w:rFonts w:ascii="Times New Roman" w:hAnsi="Times New Roman"/>
          <w:sz w:val="24"/>
          <w:szCs w:val="24"/>
        </w:rPr>
        <w:t>, ко</w:t>
      </w:r>
      <w:r>
        <w:rPr>
          <w:rFonts w:ascii="Times New Roman" w:hAnsi="Times New Roman"/>
          <w:sz w:val="24"/>
          <w:szCs w:val="24"/>
        </w:rPr>
        <w:t>я</w:t>
      </w:r>
      <w:r w:rsidRPr="009F251A">
        <w:rPr>
          <w:rFonts w:ascii="Times New Roman" w:hAnsi="Times New Roman"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>е посочена в съобщението, изпратено от УО</w:t>
      </w:r>
      <w:r w:rsidRPr="009F251A">
        <w:rPr>
          <w:rFonts w:ascii="Times New Roman" w:hAnsi="Times New Roman"/>
          <w:sz w:val="24"/>
          <w:szCs w:val="24"/>
        </w:rPr>
        <w:t>.</w:t>
      </w:r>
    </w:p>
    <w:p w14:paraId="4F655103" w14:textId="77777777" w:rsidR="00DC4670" w:rsidRDefault="00DC4670" w:rsidP="00242BE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E6FEE2E" w14:textId="52951830" w:rsidR="00242BEE" w:rsidRPr="009F251A" w:rsidRDefault="00F217F6" w:rsidP="00242BEE">
      <w:pPr>
        <w:pStyle w:val="Style1"/>
        <w:ind w:left="357" w:hanging="357"/>
      </w:pPr>
      <w:r>
        <w:t>Определяне на допустимите</w:t>
      </w:r>
      <w:r w:rsidR="00242BEE">
        <w:t xml:space="preserve"> разходи за обучения</w:t>
      </w:r>
    </w:p>
    <w:p w14:paraId="0711457D" w14:textId="77777777" w:rsidR="00242BEE" w:rsidRPr="009F251A" w:rsidRDefault="00242BEE" w:rsidP="00242BEE">
      <w:pPr>
        <w:spacing w:after="0" w:line="360" w:lineRule="auto"/>
        <w:ind w:firstLine="709"/>
        <w:jc w:val="both"/>
        <w:rPr>
          <w:rFonts w:ascii="Times New Roman" w:eastAsia="SimSun" w:hAnsi="Times New Roman"/>
          <w:bCs/>
          <w:color w:val="FF0000"/>
          <w:sz w:val="24"/>
          <w:szCs w:val="24"/>
          <w:lang w:eastAsia="zh-CN"/>
        </w:rPr>
      </w:pPr>
    </w:p>
    <w:p w14:paraId="04668987" w14:textId="6E84BF35" w:rsidR="00BA06CA" w:rsidRDefault="00A659F8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Допустимите разходи за</w:t>
      </w:r>
      <w:r w:rsidR="00C5152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различните видове обучения </w:t>
      </w:r>
      <w:r w:rsidR="00E01157">
        <w:rPr>
          <w:rFonts w:ascii="Times New Roman" w:eastAsia="Times New Roman" w:hAnsi="Times New Roman"/>
          <w:color w:val="000000" w:themeColor="text1"/>
          <w:sz w:val="24"/>
          <w:szCs w:val="24"/>
        </w:rPr>
        <w:t>се</w:t>
      </w:r>
      <w:r w:rsidR="00C5152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</w:t>
      </w:r>
      <w:r w:rsidR="00E01157">
        <w:rPr>
          <w:rFonts w:ascii="Times New Roman" w:eastAsia="Times New Roman" w:hAnsi="Times New Roman"/>
          <w:color w:val="000000" w:themeColor="text1"/>
          <w:sz w:val="24"/>
          <w:szCs w:val="24"/>
        </w:rPr>
        <w:t>ят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4B37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</w:t>
      </w:r>
      <w:r w:rsidR="00824DB2" w:rsidRPr="00824DB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спазват правилата, приложени </w:t>
      </w:r>
      <w:r w:rsidR="0055442B" w:rsidRPr="00824DB2">
        <w:rPr>
          <w:rFonts w:ascii="Times New Roman" w:eastAsia="Times New Roman" w:hAnsi="Times New Roman"/>
          <w:color w:val="000000" w:themeColor="text1"/>
          <w:sz w:val="24"/>
          <w:szCs w:val="24"/>
        </w:rPr>
        <w:t>през 2018 г.</w:t>
      </w:r>
      <w:r w:rsidR="005544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24DB2" w:rsidRPr="00824DB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първоначалното изчисляване на единичните разходи </w:t>
      </w:r>
      <w:r w:rsidR="00915E9C">
        <w:rPr>
          <w:rFonts w:ascii="Times New Roman" w:eastAsia="Times New Roman" w:hAnsi="Times New Roman"/>
          <w:color w:val="000000" w:themeColor="text1"/>
          <w:sz w:val="24"/>
          <w:szCs w:val="24"/>
        </w:rPr>
        <w:t>за обучения</w:t>
      </w:r>
      <w:r w:rsidR="000E3FA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актуализирани през 2020 г.</w:t>
      </w:r>
      <w:r w:rsidR="0055442B">
        <w:rPr>
          <w:rFonts w:ascii="Times New Roman" w:eastAsia="Times New Roman" w:hAnsi="Times New Roman"/>
          <w:color w:val="000000" w:themeColor="text1"/>
          <w:sz w:val="24"/>
          <w:szCs w:val="24"/>
        </w:rPr>
        <w:t>, описани в приложение ТЕРЕС-ПО</w:t>
      </w:r>
      <w:r w:rsidR="00653CB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прилагани при други процедури по Програма „Образование“</w:t>
      </w:r>
      <w:r w:rsidR="00915E9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AA142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</w:t>
      </w:r>
      <w:r w:rsidR="004B3709">
        <w:rPr>
          <w:rFonts w:ascii="Times New Roman" w:eastAsia="Times New Roman" w:hAnsi="Times New Roman"/>
          <w:color w:val="000000" w:themeColor="text1"/>
          <w:sz w:val="24"/>
          <w:szCs w:val="24"/>
        </w:rPr>
        <w:t>се прил</w:t>
      </w:r>
      <w:r w:rsidR="00E01157">
        <w:rPr>
          <w:rFonts w:ascii="Times New Roman" w:eastAsia="Times New Roman" w:hAnsi="Times New Roman"/>
          <w:color w:val="000000" w:themeColor="text1"/>
          <w:sz w:val="24"/>
          <w:szCs w:val="24"/>
        </w:rPr>
        <w:t>ага</w:t>
      </w:r>
      <w:r w:rsidR="004B37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методът</w:t>
      </w:r>
      <w:r w:rsidR="00EC54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описан в чл. 56 от </w:t>
      </w:r>
      <w:r w:rsidR="00EC548C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 w:rsidR="001F1AEC">
        <w:rPr>
          <w:rFonts w:ascii="Times New Roman" w:eastAsia="Times New Roman" w:hAnsi="Times New Roman"/>
          <w:color w:val="000000" w:themeColor="text1"/>
          <w:sz w:val="24"/>
          <w:szCs w:val="24"/>
        </w:rPr>
        <w:t>, както следва:</w:t>
      </w:r>
    </w:p>
    <w:p w14:paraId="11AC3273" w14:textId="24FE075F" w:rsidR="006F63D9" w:rsidRDefault="006F63D9" w:rsidP="00BA3222">
      <w:pPr>
        <w:pStyle w:val="ListParagraph"/>
        <w:numPr>
          <w:ilvl w:val="0"/>
          <w:numId w:val="14"/>
        </w:numPr>
        <w:spacing w:before="6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възнагражденията на лекторите </w:t>
      </w:r>
      <w:r w:rsidR="00C50447" w:rsidRPr="00C50447">
        <w:rPr>
          <w:rFonts w:ascii="Times New Roman" w:eastAsia="Times New Roman" w:hAnsi="Times New Roman"/>
          <w:color w:val="000000" w:themeColor="text1"/>
          <w:sz w:val="24"/>
          <w:szCs w:val="24"/>
        </w:rPr>
        <w:t>при обучени</w:t>
      </w:r>
      <w:r w:rsidR="00C50447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="00C50447" w:rsidRPr="00C504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 физическо присъствие</w:t>
      </w:r>
      <w:r w:rsidR="00C504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се прилага единичен разход 3.29 от ТЕРЕС-ПО</w:t>
      </w:r>
      <w:r w:rsidR="00DC6FA6">
        <w:rPr>
          <w:rFonts w:ascii="Times New Roman" w:eastAsia="Times New Roman" w:hAnsi="Times New Roman"/>
          <w:color w:val="000000" w:themeColor="text1"/>
          <w:sz w:val="24"/>
          <w:szCs w:val="24"/>
        </w:rPr>
        <w:t>, който се индексира допълнително с 15 %</w:t>
      </w:r>
      <w:r w:rsidR="00B667EF">
        <w:rPr>
          <w:rStyle w:val="FootnoteReference"/>
          <w:rFonts w:ascii="Times New Roman" w:eastAsia="Times New Roman" w:hAnsi="Times New Roman"/>
          <w:color w:val="000000" w:themeColor="text1"/>
          <w:sz w:val="24"/>
          <w:szCs w:val="24"/>
        </w:rPr>
        <w:footnoteReference w:id="3"/>
      </w:r>
      <w:r w:rsidR="00C15C80">
        <w:rPr>
          <w:rFonts w:ascii="Times New Roman" w:eastAsia="Times New Roman" w:hAnsi="Times New Roman"/>
          <w:color w:val="000000" w:themeColor="text1"/>
          <w:sz w:val="24"/>
          <w:szCs w:val="24"/>
        </w:rPr>
        <w:t>, тъй като единични</w:t>
      </w:r>
      <w:r w:rsidR="00940214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="00C15C8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разходи</w:t>
      </w:r>
      <w:r w:rsidR="009402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възнаграждения</w:t>
      </w:r>
      <w:r w:rsidR="00C15C8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ще започнат да се прилагат най-рано през 2026 г.</w:t>
      </w:r>
    </w:p>
    <w:p w14:paraId="652F3E0A" w14:textId="2D712C3C" w:rsidR="009C7FE6" w:rsidRDefault="00E81CC2" w:rsidP="00BA3222">
      <w:pPr>
        <w:pStyle w:val="ListParagraph"/>
        <w:numPr>
          <w:ilvl w:val="0"/>
          <w:numId w:val="14"/>
        </w:numPr>
        <w:spacing w:before="60" w:after="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Когато половината от</w:t>
      </w:r>
      <w:r w:rsidR="004778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часовете за обучение са</w:t>
      </w:r>
      <w:r w:rsidR="00E10D08" w:rsidRPr="002137A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4778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под формата на </w:t>
      </w:r>
      <w:r w:rsidR="009C7FE6" w:rsidRPr="002137AB">
        <w:rPr>
          <w:rFonts w:ascii="Times New Roman" w:eastAsia="Times New Roman" w:hAnsi="Times New Roman"/>
          <w:color w:val="000000" w:themeColor="text1"/>
          <w:sz w:val="24"/>
          <w:szCs w:val="24"/>
        </w:rPr>
        <w:t>синхронно обучение от разстояние в електронна среда</w:t>
      </w:r>
      <w:r w:rsidR="003B6FF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</w:t>
      </w:r>
      <w:r w:rsidR="002410F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</w:t>
      </w:r>
      <w:r w:rsidR="009A7331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обучения без физическо присъствие с присъждане на квалификационни кредити</w:t>
      </w:r>
      <w:r w:rsidR="005B2FE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съгласно Наредба №</w:t>
      </w:r>
      <w:r w:rsidR="00254AF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B2FEF">
        <w:rPr>
          <w:rFonts w:ascii="Times New Roman" w:eastAsia="Times New Roman" w:hAnsi="Times New Roman"/>
          <w:color w:val="000000" w:themeColor="text1"/>
          <w:sz w:val="24"/>
          <w:szCs w:val="24"/>
        </w:rPr>
        <w:t>15</w:t>
      </w:r>
      <w:r w:rsidR="000054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</w:t>
      </w:r>
      <w:r w:rsidR="00723213">
        <w:rPr>
          <w:rFonts w:ascii="Times New Roman" w:eastAsia="Times New Roman" w:hAnsi="Times New Roman"/>
          <w:color w:val="000000" w:themeColor="text1"/>
          <w:sz w:val="24"/>
          <w:szCs w:val="24"/>
        </w:rPr>
        <w:t>2019 г.</w:t>
      </w:r>
      <w:r w:rsidR="009A7331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A250BA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9C7FE6" w:rsidRPr="002137A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D3A1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възнагражденията на лекторите </w:t>
      </w:r>
      <w:r w:rsidR="00E10D08" w:rsidRPr="002137A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прилага </w:t>
      </w:r>
      <w:r w:rsidR="009C7FE6" w:rsidRPr="00E10D08">
        <w:rPr>
          <w:rFonts w:ascii="Times New Roman" w:eastAsia="Times New Roman" w:hAnsi="Times New Roman"/>
          <w:color w:val="000000" w:themeColor="text1"/>
          <w:sz w:val="24"/>
          <w:szCs w:val="24"/>
        </w:rPr>
        <w:t>25 % по-висок</w:t>
      </w:r>
      <w:r w:rsidR="0052491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размер на единичен разход 3.29.</w:t>
      </w:r>
    </w:p>
    <w:p w14:paraId="361E2CD2" w14:textId="6B67FF48" w:rsidR="007D5E19" w:rsidRPr="002137AB" w:rsidRDefault="007D5E19" w:rsidP="00BA3222">
      <w:pPr>
        <w:pStyle w:val="ListParagraph"/>
        <w:numPr>
          <w:ilvl w:val="0"/>
          <w:numId w:val="14"/>
        </w:numPr>
        <w:spacing w:before="60" w:after="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Когато всички часове за обучение са</w:t>
      </w:r>
      <w:r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под формата на </w:t>
      </w:r>
      <w:r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>синхронно обучение от разстояние в електронна среда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</w:t>
      </w:r>
      <w:r w:rsidR="005F36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</w:t>
      </w:r>
      <w:r w:rsidR="00C93BC8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без физическо присъствие </w:t>
      </w:r>
      <w:r w:rsidR="00C93BC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изцяло в присъствена форма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 присъждане на </w:t>
      </w:r>
      <w:r w:rsidR="00C93BC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квалификацион</w:t>
      </w:r>
      <w:r w:rsidR="00C93BC8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н кредит</w:t>
      </w:r>
      <w:r w:rsidR="00225DD7" w:rsidRPr="00225DD7">
        <w:t xml:space="preserve"> </w:t>
      </w:r>
      <w:r w:rsidR="00225DD7" w:rsidRPr="00225DD7">
        <w:rPr>
          <w:rFonts w:ascii="Times New Roman" w:eastAsia="Times New Roman" w:hAnsi="Times New Roman"/>
          <w:color w:val="000000" w:themeColor="text1"/>
          <w:sz w:val="24"/>
          <w:szCs w:val="24"/>
        </w:rPr>
        <w:t>съгласно Наредба № 15</w:t>
      </w:r>
      <w:r w:rsidR="00254AF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</w:t>
      </w:r>
      <w:r w:rsidR="00225DD7" w:rsidRPr="00225DD7">
        <w:rPr>
          <w:rFonts w:ascii="Times New Roman" w:eastAsia="Times New Roman" w:hAnsi="Times New Roman"/>
          <w:color w:val="000000" w:themeColor="text1"/>
          <w:sz w:val="24"/>
          <w:szCs w:val="24"/>
        </w:rPr>
        <w:t>2019 г.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),</w:t>
      </w:r>
      <w:r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D3A1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възнагражденията на лекторите </w:t>
      </w:r>
      <w:r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прилага </w:t>
      </w:r>
      <w:r w:rsidR="00225DD7">
        <w:rPr>
          <w:rFonts w:ascii="Times New Roman" w:eastAsia="Times New Roman" w:hAnsi="Times New Roman"/>
          <w:color w:val="000000" w:themeColor="text1"/>
          <w:sz w:val="24"/>
          <w:szCs w:val="24"/>
        </w:rPr>
        <w:t>50</w:t>
      </w:r>
      <w:r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% по-висок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размер на единичен разход 3.29.</w:t>
      </w:r>
    </w:p>
    <w:p w14:paraId="7BD1721F" w14:textId="46512F75" w:rsidR="001F1AEC" w:rsidRDefault="00B3254C" w:rsidP="00BA3222">
      <w:pPr>
        <w:pStyle w:val="ListParagraph"/>
        <w:numPr>
          <w:ilvl w:val="0"/>
          <w:numId w:val="14"/>
        </w:numPr>
        <w:spacing w:before="60" w:after="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 обученията с физическо присъствие</w:t>
      </w:r>
      <w:r w:rsidR="00C4589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(продължителност 1-3 дни, с присъждане на квалификационни кредити и</w:t>
      </w:r>
      <w:r w:rsidR="00482905">
        <w:rPr>
          <w:rFonts w:ascii="Times New Roman" w:eastAsia="Times New Roman" w:hAnsi="Times New Roman"/>
          <w:color w:val="000000" w:themeColor="text1"/>
          <w:sz w:val="24"/>
          <w:szCs w:val="24"/>
        </w:rPr>
        <w:t>ли</w:t>
      </w:r>
      <w:r w:rsidR="00C4589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без присъждане на </w:t>
      </w:r>
      <w:r w:rsidR="00717F9B" w:rsidRPr="00717F9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квалификационни </w:t>
      </w:r>
      <w:r w:rsidR="00C45895">
        <w:rPr>
          <w:rFonts w:ascii="Times New Roman" w:eastAsia="Times New Roman" w:hAnsi="Times New Roman"/>
          <w:color w:val="000000" w:themeColor="text1"/>
          <w:sz w:val="24"/>
          <w:szCs w:val="24"/>
        </w:rPr>
        <w:t>кредити)</w:t>
      </w:r>
      <w:r w:rsidR="0009326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B50F6">
        <w:rPr>
          <w:rFonts w:ascii="Times New Roman" w:eastAsia="Times New Roman" w:hAnsi="Times New Roman"/>
          <w:color w:val="000000" w:themeColor="text1"/>
          <w:sz w:val="24"/>
          <w:szCs w:val="24"/>
        </w:rPr>
        <w:t>се определят надбавки за участниците</w:t>
      </w:r>
      <w:r w:rsidR="00A70D3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аналогично </w:t>
      </w:r>
      <w:r w:rsidR="00A70D3E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на подхода, използван през 2018 г.</w:t>
      </w:r>
      <w:r w:rsidR="00105EF5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D907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като се прилагат актуализираните стойности</w:t>
      </w:r>
      <w:r w:rsidR="004415AC">
        <w:rPr>
          <w:rFonts w:ascii="Times New Roman" w:eastAsia="Times New Roman" w:hAnsi="Times New Roman"/>
          <w:color w:val="000000" w:themeColor="text1"/>
          <w:sz w:val="24"/>
          <w:szCs w:val="24"/>
        </w:rPr>
        <w:t>, обосновани в раздел 3.</w:t>
      </w:r>
    </w:p>
    <w:p w14:paraId="1393F3A8" w14:textId="6814B95D" w:rsidR="002A1C08" w:rsidRDefault="00021D33" w:rsidP="00BA3222">
      <w:pPr>
        <w:pStyle w:val="ListParagraph"/>
        <w:numPr>
          <w:ilvl w:val="0"/>
          <w:numId w:val="14"/>
        </w:numPr>
        <w:spacing w:before="60" w:after="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Определят</w:t>
      </w:r>
      <w:r w:rsidR="002A1C0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други преки и непреки разходи</w:t>
      </w:r>
      <w:r w:rsidR="001B25F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съответното обучение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които се изчисляват чрез прилагане на единна ставка от 40 % </w:t>
      </w:r>
      <w:r w:rsidR="00203D30">
        <w:rPr>
          <w:rFonts w:ascii="Times New Roman" w:eastAsia="Times New Roman" w:hAnsi="Times New Roman"/>
          <w:color w:val="000000" w:themeColor="text1"/>
          <w:sz w:val="24"/>
          <w:szCs w:val="24"/>
        </w:rPr>
        <w:t>към разходите за възнаграждения на лектора</w:t>
      </w:r>
      <w:r w:rsidR="001B25F5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61CE6FD" w14:textId="327D2B75" w:rsidR="00DB75A5" w:rsidRDefault="00577E31" w:rsidP="00BA3222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определянето на надбавките за участниците се </w:t>
      </w:r>
      <w:r w:rsidR="0075637A">
        <w:rPr>
          <w:rFonts w:ascii="Times New Roman" w:eastAsia="Times New Roman" w:hAnsi="Times New Roman"/>
          <w:color w:val="000000" w:themeColor="text1"/>
          <w:sz w:val="24"/>
          <w:szCs w:val="24"/>
        </w:rPr>
        <w:t>спазват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5637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правилата, приложени </w:t>
      </w:r>
      <w:r w:rsidR="004B3FAA">
        <w:rPr>
          <w:rFonts w:ascii="Times New Roman" w:eastAsia="Times New Roman" w:hAnsi="Times New Roman"/>
          <w:color w:val="000000" w:themeColor="text1"/>
          <w:sz w:val="24"/>
          <w:szCs w:val="24"/>
        </w:rPr>
        <w:t>при първоначалното изчисляване на единичните разходи през 2018 г., както следва</w:t>
      </w:r>
      <w:r w:rsidR="00DB75A5" w:rsidRPr="00DB75A5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A73161C" w14:textId="4CC586A8" w:rsidR="004B3FAA" w:rsidRDefault="002D510F" w:rsidP="00BA3222">
      <w:pPr>
        <w:pStyle w:val="ListParagraph"/>
        <w:numPr>
          <w:ilvl w:val="0"/>
          <w:numId w:val="15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D283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При обучения без нощувки:</w:t>
      </w:r>
      <w:r w:rsidRPr="002D510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4C0EA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Дневни </w:t>
      </w:r>
      <w:r w:rsidR="0066046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пътни </w:t>
      </w:r>
      <w:r w:rsidR="004C0EA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B0187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определят за броя на дните на </w:t>
      </w:r>
      <w:r w:rsidR="00213F6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присъственото </w:t>
      </w:r>
      <w:r w:rsidR="00B0187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обучение (1 ден </w:t>
      </w:r>
      <w:r w:rsidR="001B54F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</w:t>
      </w:r>
      <w:r w:rsidR="00A068C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еднодневни </w:t>
      </w:r>
      <w:r w:rsidR="007427C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обучения или </w:t>
      </w:r>
      <w:r w:rsidR="001B54F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обучения с 1 КК; 2 дни при </w:t>
      </w:r>
      <w:r w:rsidR="007427C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двудневни обучения или </w:t>
      </w:r>
      <w:r w:rsidR="001B54F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обучения с 2 КК; 3 дни при </w:t>
      </w:r>
      <w:r w:rsidR="007427C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тридневни обучения </w:t>
      </w:r>
      <w:r w:rsidR="009544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или </w:t>
      </w:r>
      <w:r w:rsidR="001B54F1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обучения с 3 КК</w:t>
      </w:r>
      <w:r w:rsidR="009544B6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</w:p>
    <w:p w14:paraId="081E9277" w14:textId="4E38B1D0" w:rsidR="009544B6" w:rsidRPr="002D510F" w:rsidRDefault="009544B6" w:rsidP="00BA3222">
      <w:pPr>
        <w:pStyle w:val="ListParagraph"/>
        <w:numPr>
          <w:ilvl w:val="0"/>
          <w:numId w:val="15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D283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При обучения с нощувки: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B09FB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 се е</w:t>
      </w:r>
      <w:r w:rsidR="002E418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дин единичен разход за пътни </w:t>
      </w:r>
      <w:r w:rsidR="00B679E5">
        <w:rPr>
          <w:rFonts w:ascii="Times New Roman" w:eastAsia="Times New Roman" w:hAnsi="Times New Roman"/>
          <w:color w:val="000000" w:themeColor="text1"/>
          <w:sz w:val="24"/>
          <w:szCs w:val="24"/>
        </w:rPr>
        <w:t>за</w:t>
      </w:r>
      <w:r w:rsidR="002E418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D22A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едно </w:t>
      </w:r>
      <w:r w:rsidR="007A75C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изнесено </w:t>
      </w:r>
      <w:r w:rsidR="002E418B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обучение</w:t>
      </w:r>
      <w:r w:rsidR="00E1077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независимо от продължителността</w:t>
      </w:r>
      <w:r w:rsidR="009A0EF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обучението</w:t>
      </w:r>
      <w:r w:rsidR="007A75C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; </w:t>
      </w:r>
      <w:r w:rsidR="004F1AD4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>Дневни се определят за броя на дните на присъственото обучение</w:t>
      </w:r>
      <w:r w:rsidR="00D9324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A4327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плюс едно </w:t>
      </w:r>
      <w:r w:rsidR="004F1AD4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BA70EB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4F1AD4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дни при двудневни обучения или обучения с 2 КК; </w:t>
      </w:r>
      <w:r w:rsidR="00BA70EB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004F1AD4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дни при тридневни обучения или обучения с 3 КК)</w:t>
      </w:r>
      <w:r w:rsidR="00F52E11">
        <w:rPr>
          <w:rFonts w:ascii="Times New Roman" w:eastAsia="Times New Roman" w:hAnsi="Times New Roman"/>
          <w:color w:val="000000" w:themeColor="text1"/>
          <w:sz w:val="24"/>
          <w:szCs w:val="24"/>
        </w:rPr>
        <w:t>; Разходи</w:t>
      </w:r>
      <w:r w:rsidR="00A76469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="00F52E1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нощувки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определят </w:t>
      </w:r>
      <w:r w:rsidR="00FD69FF">
        <w:rPr>
          <w:rFonts w:ascii="Times New Roman" w:eastAsia="Times New Roman" w:hAnsi="Times New Roman"/>
          <w:color w:val="000000" w:themeColor="text1"/>
          <w:sz w:val="24"/>
          <w:szCs w:val="24"/>
        </w:rPr>
        <w:t>в зависимост от броя на реално осъществените нощувки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91B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>присъствено обучение</w:t>
      </w:r>
      <w:r w:rsidR="00B54A7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но не повече от </w:t>
      </w:r>
      <w:r w:rsidR="00BA70EB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32C28">
        <w:rPr>
          <w:rFonts w:ascii="Times New Roman" w:eastAsia="Times New Roman" w:hAnsi="Times New Roman"/>
          <w:color w:val="000000" w:themeColor="text1"/>
          <w:sz w:val="24"/>
          <w:szCs w:val="24"/>
        </w:rPr>
        <w:t>нощувки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 двудневни обучения или обучения с </w:t>
      </w:r>
      <w:r w:rsidR="00591B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присъждане на 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 КК; </w:t>
      </w:r>
      <w:r w:rsidR="001D3FB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съответно не повече от </w:t>
      </w:r>
      <w:r w:rsidR="00BA70EB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E32C2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нощувки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 тридневни обучения или обучения с </w:t>
      </w:r>
      <w:r w:rsidR="00591B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присъждане на </w:t>
      </w:r>
      <w:r w:rsidR="00F52E11" w:rsidRPr="004F1AD4">
        <w:rPr>
          <w:rFonts w:ascii="Times New Roman" w:eastAsia="Times New Roman" w:hAnsi="Times New Roman"/>
          <w:color w:val="000000" w:themeColor="text1"/>
          <w:sz w:val="24"/>
          <w:szCs w:val="24"/>
        </w:rPr>
        <w:t>3 КК</w:t>
      </w:r>
      <w:r w:rsidR="001D3FB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6128244" w14:textId="77777777" w:rsidR="00763E9B" w:rsidRDefault="00763E9B" w:rsidP="00A15C32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</w:pPr>
    </w:p>
    <w:p w14:paraId="7A97D8E0" w14:textId="0A968B86" w:rsidR="00F816B5" w:rsidRDefault="00A7620A" w:rsidP="00A15C32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8" w:name="_Hlk208502317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определянето на </w:t>
      </w:r>
      <w:r w:rsidR="00C7658F">
        <w:rPr>
          <w:rFonts w:ascii="Times New Roman" w:eastAsia="Times New Roman" w:hAnsi="Times New Roman"/>
          <w:color w:val="000000" w:themeColor="text1"/>
          <w:sz w:val="24"/>
          <w:szCs w:val="24"/>
        </w:rPr>
        <w:t>допустимите</w:t>
      </w:r>
      <w:r w:rsidR="003F0AF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разходи за </w:t>
      </w:r>
      <w:r w:rsidR="00C7658F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обучения</w:t>
      </w:r>
      <w:r w:rsidR="003F0AF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981A2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етап кандидатстване конкретният бенефициент </w:t>
      </w:r>
      <w:r w:rsidR="00F816B5">
        <w:rPr>
          <w:rFonts w:ascii="Times New Roman" w:eastAsia="Times New Roman" w:hAnsi="Times New Roman"/>
          <w:color w:val="000000" w:themeColor="text1"/>
          <w:sz w:val="24"/>
          <w:szCs w:val="24"/>
        </w:rPr>
        <w:t>изпълнява последователно следните стъпки</w:t>
      </w:r>
      <w:r w:rsidR="007D694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всеки тип </w:t>
      </w:r>
      <w:r w:rsidR="000C3ED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обучение, което е </w:t>
      </w:r>
      <w:r w:rsidR="007D694E">
        <w:rPr>
          <w:rFonts w:ascii="Times New Roman" w:eastAsia="Times New Roman" w:hAnsi="Times New Roman"/>
          <w:color w:val="000000" w:themeColor="text1"/>
          <w:sz w:val="24"/>
          <w:szCs w:val="24"/>
        </w:rPr>
        <w:t>планира</w:t>
      </w:r>
      <w:r w:rsidR="000C3ED2">
        <w:rPr>
          <w:rFonts w:ascii="Times New Roman" w:eastAsia="Times New Roman" w:hAnsi="Times New Roman"/>
          <w:color w:val="000000" w:themeColor="text1"/>
          <w:sz w:val="24"/>
          <w:szCs w:val="24"/>
        </w:rPr>
        <w:t>л</w:t>
      </w:r>
      <w:r w:rsidR="00F816B5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698ED5B6" w14:textId="1A1FBE23" w:rsidR="00F816B5" w:rsidRDefault="00F816B5" w:rsidP="00BA3222">
      <w:pPr>
        <w:pStyle w:val="ListParagraph"/>
        <w:numPr>
          <w:ilvl w:val="0"/>
          <w:numId w:val="16"/>
        </w:numPr>
        <w:spacing w:after="6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Изчислява допустими</w:t>
      </w:r>
      <w:r w:rsidR="00B81A48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</w:t>
      </w:r>
      <w:r w:rsidR="00B81A4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ходи за възнаграждения </w:t>
      </w:r>
      <w:r w:rsidR="009F39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</w:t>
      </w:r>
      <w:r w:rsidR="00122447">
        <w:rPr>
          <w:rFonts w:ascii="Times New Roman" w:eastAsia="Times New Roman" w:hAnsi="Times New Roman"/>
          <w:color w:val="000000" w:themeColor="text1"/>
          <w:sz w:val="24"/>
          <w:szCs w:val="24"/>
        </w:rPr>
        <w:t>задава брой</w:t>
      </w:r>
      <w:r w:rsidR="002163A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0C3ED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академични часове </w:t>
      </w:r>
      <w:r w:rsidR="002163A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обучение </w:t>
      </w:r>
      <w:r w:rsidR="002A657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прилага съответния </w:t>
      </w:r>
      <w:r w:rsidR="00467FF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размер на </w:t>
      </w:r>
      <w:r w:rsidR="002A6572">
        <w:rPr>
          <w:rFonts w:ascii="Times New Roman" w:eastAsia="Times New Roman" w:hAnsi="Times New Roman"/>
          <w:color w:val="000000" w:themeColor="text1"/>
          <w:sz w:val="24"/>
          <w:szCs w:val="24"/>
        </w:rPr>
        <w:t>единичен разход</w:t>
      </w:r>
      <w:r w:rsidR="00467FF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3.29, както е </w:t>
      </w:r>
      <w:r w:rsidR="009F3957">
        <w:rPr>
          <w:rFonts w:ascii="Times New Roman" w:eastAsia="Times New Roman" w:hAnsi="Times New Roman"/>
          <w:color w:val="000000" w:themeColor="text1"/>
          <w:sz w:val="24"/>
          <w:szCs w:val="24"/>
        </w:rPr>
        <w:t>описан</w:t>
      </w:r>
      <w:r w:rsidR="00467FF1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="009F39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по</w:t>
      </w:r>
      <w:r w:rsidR="003D5A8E">
        <w:rPr>
          <w:rFonts w:ascii="Times New Roman" w:eastAsia="Times New Roman" w:hAnsi="Times New Roman"/>
          <w:color w:val="000000" w:themeColor="text1"/>
          <w:sz w:val="24"/>
          <w:szCs w:val="24"/>
        </w:rPr>
        <w:t>-горе.</w:t>
      </w:r>
    </w:p>
    <w:p w14:paraId="3918305D" w14:textId="77777777" w:rsidR="00FF7550" w:rsidRDefault="00FF7550" w:rsidP="00FF7550">
      <w:pPr>
        <w:pStyle w:val="ListParagraph"/>
        <w:numPr>
          <w:ilvl w:val="0"/>
          <w:numId w:val="16"/>
        </w:numPr>
        <w:spacing w:after="6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Изчислява</w:t>
      </w:r>
      <w:r w:rsidRPr="0048323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други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Pr="0048323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преки и непреки разходи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</w:t>
      </w:r>
      <w:r w:rsidRPr="0048323F">
        <w:rPr>
          <w:rFonts w:ascii="Times New Roman" w:eastAsia="Times New Roman" w:hAnsi="Times New Roman"/>
          <w:color w:val="000000" w:themeColor="text1"/>
          <w:sz w:val="24"/>
          <w:szCs w:val="24"/>
        </w:rPr>
        <w:t>прилага единна ставка от 40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8323F">
        <w:rPr>
          <w:rFonts w:ascii="Times New Roman" w:eastAsia="Times New Roman" w:hAnsi="Times New Roman"/>
          <w:color w:val="000000" w:themeColor="text1"/>
          <w:sz w:val="24"/>
          <w:szCs w:val="24"/>
        </w:rPr>
        <w:t>% към разходите за възнаграждения на лектора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EBA43F6" w14:textId="55000140" w:rsidR="004113D9" w:rsidRDefault="00AC6A81" w:rsidP="00BA3222">
      <w:pPr>
        <w:pStyle w:val="ListParagraph"/>
        <w:numPr>
          <w:ilvl w:val="0"/>
          <w:numId w:val="16"/>
        </w:numPr>
        <w:spacing w:after="6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Задава</w:t>
      </w:r>
      <w:r w:rsidR="00F20E7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71901">
        <w:rPr>
          <w:rFonts w:ascii="Times New Roman" w:eastAsia="Times New Roman" w:hAnsi="Times New Roman"/>
          <w:color w:val="000000" w:themeColor="text1"/>
          <w:sz w:val="24"/>
          <w:szCs w:val="24"/>
        </w:rPr>
        <w:t>среден брой обучаеми в една група</w:t>
      </w:r>
      <w:r w:rsidR="003A7853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0ADA026A" w14:textId="145231E3" w:rsidR="002215F4" w:rsidRDefault="00594D21" w:rsidP="00BA3222">
      <w:pPr>
        <w:pStyle w:val="ListParagraph"/>
        <w:numPr>
          <w:ilvl w:val="0"/>
          <w:numId w:val="16"/>
        </w:numPr>
        <w:spacing w:after="6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Изчислява</w:t>
      </w:r>
      <w:r w:rsidR="00AC6A8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3596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допустимите разходи за надбавки на участниците </w:t>
      </w:r>
      <w:r w:rsidR="00D75DD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една група </w:t>
      </w:r>
      <w:r w:rsidR="00E3596F">
        <w:rPr>
          <w:rFonts w:ascii="Times New Roman" w:eastAsia="Times New Roman" w:hAnsi="Times New Roman"/>
          <w:color w:val="000000" w:themeColor="text1"/>
          <w:sz w:val="24"/>
          <w:szCs w:val="24"/>
        </w:rPr>
        <w:t>като прилага правилата, описани по-горе.</w:t>
      </w:r>
    </w:p>
    <w:p w14:paraId="3BF2E415" w14:textId="4B5033F4" w:rsidR="00964639" w:rsidRDefault="00964639" w:rsidP="00BA3222">
      <w:pPr>
        <w:pStyle w:val="ListParagraph"/>
        <w:numPr>
          <w:ilvl w:val="0"/>
          <w:numId w:val="16"/>
        </w:numPr>
        <w:spacing w:after="6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Изчислява общ</w:t>
      </w:r>
      <w:r w:rsidR="00C17E6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ата сума на допустимите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разход</w:t>
      </w:r>
      <w:r w:rsidR="00C17E61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провеждането на обучението на </w:t>
      </w:r>
      <w:r w:rsidR="00C17E61">
        <w:rPr>
          <w:rFonts w:ascii="Times New Roman" w:eastAsia="Times New Roman" w:hAnsi="Times New Roman"/>
          <w:color w:val="000000" w:themeColor="text1"/>
          <w:sz w:val="24"/>
          <w:szCs w:val="24"/>
        </w:rPr>
        <w:t>една група.</w:t>
      </w:r>
    </w:p>
    <w:p w14:paraId="0B684422" w14:textId="28F336A5" w:rsidR="000B24B0" w:rsidRPr="00F816B5" w:rsidRDefault="000B24B0" w:rsidP="00BA3222">
      <w:pPr>
        <w:pStyle w:val="ListParagraph"/>
        <w:numPr>
          <w:ilvl w:val="0"/>
          <w:numId w:val="16"/>
        </w:numPr>
        <w:spacing w:after="6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Задава </w:t>
      </w:r>
      <w:r w:rsidR="00BF7E5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индикативен </w:t>
      </w:r>
      <w:r w:rsidR="00B35518">
        <w:rPr>
          <w:rFonts w:ascii="Times New Roman" w:eastAsia="Times New Roman" w:hAnsi="Times New Roman"/>
          <w:color w:val="000000" w:themeColor="text1"/>
          <w:sz w:val="24"/>
          <w:szCs w:val="24"/>
        </w:rPr>
        <w:t>брой на групите и изчислява об</w:t>
      </w:r>
      <w:r w:rsidR="00683197">
        <w:rPr>
          <w:rFonts w:ascii="Times New Roman" w:eastAsia="Times New Roman" w:hAnsi="Times New Roman"/>
          <w:color w:val="000000" w:themeColor="text1"/>
          <w:sz w:val="24"/>
          <w:szCs w:val="24"/>
        </w:rPr>
        <w:t>щата сума на допустимите разходи за провеждане на съответния тип обучение.</w:t>
      </w:r>
    </w:p>
    <w:p w14:paraId="3281E697" w14:textId="77777777" w:rsidR="00F816B5" w:rsidRDefault="00F816B5" w:rsidP="00A15C32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bookmarkEnd w:id="8"/>
    <w:p w14:paraId="01E3A144" w14:textId="1BAEFDCD" w:rsidR="00A15C32" w:rsidRPr="002137AB" w:rsidRDefault="00512653" w:rsidP="00A15C32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</w:t>
      </w:r>
      <w:r w:rsidR="00A15C3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приложения файл </w:t>
      </w:r>
      <w:r w:rsidR="00A15C32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2.001-Актуализиране</w:t>
      </w:r>
      <w:r w:rsidR="00B87E0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-КМ</w:t>
      </w:r>
      <w:r w:rsidR="00A15C32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="00A15C32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xls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са изчислени общите суми </w:t>
      </w:r>
      <w:r w:rsidR="00E9739F" w:rsidRPr="00E9739F">
        <w:rPr>
          <w:rFonts w:ascii="Times New Roman" w:eastAsia="Times New Roman" w:hAnsi="Times New Roman"/>
          <w:color w:val="000000" w:themeColor="text1"/>
          <w:sz w:val="24"/>
          <w:szCs w:val="24"/>
        </w:rPr>
        <w:t>на допустимите разходи за провеждането на обучението на една група</w:t>
      </w:r>
      <w:r w:rsidR="00E9739F" w:rsidRPr="002137A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за</w:t>
      </w:r>
      <w:r w:rsidR="00E973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D3D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основните </w:t>
      </w:r>
      <w:r w:rsidR="003857C2">
        <w:rPr>
          <w:rFonts w:ascii="Times New Roman" w:eastAsia="Times New Roman" w:hAnsi="Times New Roman"/>
          <w:color w:val="000000" w:themeColor="text1"/>
          <w:sz w:val="24"/>
          <w:szCs w:val="24"/>
        </w:rPr>
        <w:t>видове обучения, които са о</w:t>
      </w:r>
      <w:r w:rsidR="00D273D0">
        <w:rPr>
          <w:rFonts w:ascii="Times New Roman" w:eastAsia="Times New Roman" w:hAnsi="Times New Roman"/>
          <w:color w:val="000000" w:themeColor="text1"/>
          <w:sz w:val="24"/>
          <w:szCs w:val="24"/>
        </w:rPr>
        <w:t>писани в приложение ТЕРЕС-ПО</w:t>
      </w:r>
      <w:r w:rsidR="003C346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съобразени са с нормативните изисквания </w:t>
      </w:r>
      <w:r w:rsidR="00D273D0">
        <w:rPr>
          <w:rFonts w:ascii="Times New Roman" w:eastAsia="Times New Roman" w:hAnsi="Times New Roman"/>
          <w:color w:val="000000" w:themeColor="text1"/>
          <w:sz w:val="24"/>
          <w:szCs w:val="24"/>
        </w:rPr>
        <w:t>и се прилагат при други процедури, финансирани от Програма „Образование“.</w:t>
      </w:r>
      <w:r w:rsidR="003857C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9900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Тези общи суми </w:t>
      </w:r>
      <w:r w:rsidR="00863551">
        <w:rPr>
          <w:rFonts w:ascii="Times New Roman" w:eastAsia="Times New Roman" w:hAnsi="Times New Roman"/>
          <w:color w:val="000000" w:themeColor="text1"/>
          <w:sz w:val="24"/>
          <w:szCs w:val="24"/>
        </w:rPr>
        <w:t>за 1 група</w:t>
      </w:r>
      <w:r w:rsidR="00DF251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34CD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обучаеми </w:t>
      </w:r>
      <w:r w:rsidR="00DF251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съответния тип обучение може да се ползват от кандидата при </w:t>
      </w:r>
      <w:r w:rsidR="009F6CB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обосноваване на бюджета на проекта чрез попълване на файла </w:t>
      </w:r>
      <w:r w:rsidR="009F6CBF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</w:t>
      </w:r>
      <w:r w:rsidR="009F6CBF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="009F6CBF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xls</w:t>
      </w:r>
      <w:r w:rsidR="009F6CBF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819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Кандидатът може да </w:t>
      </w:r>
      <w:r w:rsidR="00B95A2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зададе друг тип обучение или </w:t>
      </w:r>
      <w:r w:rsidR="006116E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друг среден брой обучаеми в 1 група и </w:t>
      </w:r>
      <w:r w:rsidR="00D87E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съответно </w:t>
      </w:r>
      <w:r w:rsidR="006116E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да изчисли </w:t>
      </w:r>
      <w:r w:rsidR="00430A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нов </w:t>
      </w:r>
      <w:r w:rsidR="00D87E38">
        <w:rPr>
          <w:rFonts w:ascii="Times New Roman" w:eastAsia="Times New Roman" w:hAnsi="Times New Roman"/>
          <w:color w:val="000000" w:themeColor="text1"/>
          <w:sz w:val="24"/>
          <w:szCs w:val="24"/>
        </w:rPr>
        <w:t>общ размер на разходите за 1 група за този тип обучение.</w:t>
      </w:r>
    </w:p>
    <w:p w14:paraId="3DC61A53" w14:textId="234B6B0E" w:rsidR="00BA06CA" w:rsidRPr="00B24B97" w:rsidRDefault="00A759E5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етап изпълнение </w:t>
      </w:r>
      <w:r w:rsidR="00321FF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проекта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 всяко проведено обучение се възстановява сума</w:t>
      </w:r>
      <w:r w:rsidR="002A62D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1 група обучаеми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която е изчислена</w:t>
      </w:r>
      <w:r w:rsidR="00321FF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A62D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се </w:t>
      </w:r>
      <w:r w:rsidR="008728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използват </w:t>
      </w:r>
      <w:r w:rsidR="002A62DB">
        <w:rPr>
          <w:rFonts w:ascii="Times New Roman" w:eastAsia="Times New Roman" w:hAnsi="Times New Roman"/>
          <w:color w:val="000000" w:themeColor="text1"/>
          <w:sz w:val="24"/>
          <w:szCs w:val="24"/>
        </w:rPr>
        <w:t>актуални</w:t>
      </w:r>
      <w:r w:rsidR="00D07BAD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="002A62D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размер</w:t>
      </w:r>
      <w:r w:rsidR="00D07BAD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="002A62D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единичен разход 3.29 и </w:t>
      </w:r>
      <w:r w:rsidR="00D07BA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разходите за надбавки на участниците </w:t>
      </w:r>
      <w:r w:rsidR="008728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се прилагат </w:t>
      </w:r>
      <w:r w:rsidR="00D07BAD">
        <w:rPr>
          <w:rFonts w:ascii="Times New Roman" w:eastAsia="Times New Roman" w:hAnsi="Times New Roman"/>
          <w:color w:val="000000" w:themeColor="text1"/>
          <w:sz w:val="24"/>
          <w:szCs w:val="24"/>
        </w:rPr>
        <w:t>формулите</w:t>
      </w:r>
      <w:r w:rsidR="008728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посочени във файла </w:t>
      </w:r>
      <w:r w:rsidR="0087289D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2.001-Актуализиране</w:t>
      </w:r>
      <w:r w:rsidR="0087289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-КМ</w:t>
      </w:r>
      <w:r w:rsidR="0087289D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="0087289D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xls</w:t>
      </w:r>
      <w:r w:rsidR="00445E96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445E96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893CA6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изключва се предварителната индексация от 15 %</w:t>
      </w:r>
      <w:r w:rsidR="00B24B97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, приложена през 2025 г.)</w:t>
      </w:r>
      <w:r w:rsidR="0087289D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055B5394" w14:textId="77777777" w:rsidR="0074264F" w:rsidRDefault="0074264F" w:rsidP="00B9353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753934C" w14:textId="77777777" w:rsidR="0074264F" w:rsidRDefault="0074264F" w:rsidP="0074264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C468F9F" w14:textId="1F56B9CD" w:rsidR="0074264F" w:rsidRPr="009F251A" w:rsidRDefault="0074264F" w:rsidP="0074264F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Периодич</w:t>
      </w:r>
      <w:r w:rsidRPr="009F251A">
        <w:rPr>
          <w:rFonts w:ascii="Times New Roman" w:hAnsi="Times New Roman"/>
          <w:b/>
          <w:bCs/>
          <w:iCs/>
          <w:sz w:val="24"/>
          <w:szCs w:val="24"/>
        </w:rPr>
        <w:t xml:space="preserve">но актуализиране на </w:t>
      </w:r>
      <w:r w:rsidR="00FC7379">
        <w:rPr>
          <w:rFonts w:ascii="Times New Roman" w:hAnsi="Times New Roman"/>
          <w:b/>
          <w:bCs/>
          <w:iCs/>
          <w:sz w:val="24"/>
          <w:szCs w:val="24"/>
        </w:rPr>
        <w:t xml:space="preserve">допустимите </w:t>
      </w:r>
      <w:r>
        <w:rPr>
          <w:rFonts w:ascii="Times New Roman" w:hAnsi="Times New Roman"/>
          <w:b/>
          <w:bCs/>
          <w:iCs/>
          <w:sz w:val="24"/>
          <w:szCs w:val="24"/>
        </w:rPr>
        <w:t>разходи</w:t>
      </w:r>
      <w:r w:rsidR="00FC7379">
        <w:rPr>
          <w:rFonts w:ascii="Times New Roman" w:hAnsi="Times New Roman"/>
          <w:b/>
          <w:bCs/>
          <w:iCs/>
          <w:sz w:val="24"/>
          <w:szCs w:val="24"/>
        </w:rPr>
        <w:t xml:space="preserve"> за обучения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14:paraId="70FC7C95" w14:textId="264DC74F" w:rsidR="001C37D9" w:rsidRDefault="00B80F7B" w:rsidP="0074264F">
      <w:pPr>
        <w:spacing w:before="360"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Допустимите разходи за обучения </w:t>
      </w:r>
      <w:r w:rsidR="0008650C">
        <w:rPr>
          <w:rFonts w:ascii="Times New Roman" w:hAnsi="Times New Roman"/>
          <w:iCs/>
          <w:sz w:val="24"/>
          <w:szCs w:val="24"/>
        </w:rPr>
        <w:t>се променят при актуализиране на единичен разход 3.29 или приложимите разходи за надбавки на участниците</w:t>
      </w:r>
      <w:r w:rsidR="00D17F33">
        <w:rPr>
          <w:rFonts w:ascii="Times New Roman" w:hAnsi="Times New Roman"/>
          <w:iCs/>
          <w:sz w:val="24"/>
          <w:szCs w:val="24"/>
        </w:rPr>
        <w:t xml:space="preserve"> </w:t>
      </w:r>
      <w:r w:rsidR="00265383">
        <w:rPr>
          <w:rFonts w:ascii="Times New Roman" w:hAnsi="Times New Roman"/>
          <w:iCs/>
          <w:sz w:val="24"/>
          <w:szCs w:val="24"/>
        </w:rPr>
        <w:t xml:space="preserve">като при изчисленията се </w:t>
      </w:r>
      <w:r w:rsidR="000F1061">
        <w:rPr>
          <w:rFonts w:ascii="Times New Roman" w:hAnsi="Times New Roman"/>
          <w:iCs/>
          <w:sz w:val="24"/>
          <w:szCs w:val="24"/>
        </w:rPr>
        <w:t>използва</w:t>
      </w:r>
      <w:r w:rsidR="00265383">
        <w:rPr>
          <w:rFonts w:ascii="Times New Roman" w:hAnsi="Times New Roman"/>
          <w:iCs/>
          <w:sz w:val="24"/>
          <w:szCs w:val="24"/>
        </w:rPr>
        <w:t>т</w:t>
      </w:r>
      <w:r w:rsidR="000F1061">
        <w:rPr>
          <w:rFonts w:ascii="Times New Roman" w:hAnsi="Times New Roman"/>
          <w:iCs/>
          <w:sz w:val="24"/>
          <w:szCs w:val="24"/>
        </w:rPr>
        <w:t xml:space="preserve"> </w:t>
      </w:r>
      <w:r w:rsidR="0074264F" w:rsidRPr="009F251A">
        <w:rPr>
          <w:rFonts w:ascii="Times New Roman" w:hAnsi="Times New Roman"/>
          <w:iCs/>
          <w:sz w:val="24"/>
          <w:szCs w:val="24"/>
        </w:rPr>
        <w:t xml:space="preserve">формулите </w:t>
      </w:r>
      <w:r w:rsidR="0074264F">
        <w:rPr>
          <w:rFonts w:ascii="Times New Roman" w:hAnsi="Times New Roman"/>
          <w:iCs/>
          <w:sz w:val="24"/>
          <w:szCs w:val="24"/>
        </w:rPr>
        <w:t xml:space="preserve">от </w:t>
      </w:r>
      <w:r w:rsidR="0074264F" w:rsidRPr="009F251A">
        <w:rPr>
          <w:rFonts w:ascii="Times New Roman" w:hAnsi="Times New Roman"/>
          <w:iCs/>
          <w:sz w:val="24"/>
          <w:szCs w:val="24"/>
        </w:rPr>
        <w:t xml:space="preserve">файла </w:t>
      </w:r>
      <w:r w:rsidR="0074264F" w:rsidRPr="00C53856">
        <w:rPr>
          <w:rFonts w:ascii="Times New Roman" w:hAnsi="Times New Roman"/>
          <w:i/>
          <w:sz w:val="24"/>
          <w:szCs w:val="24"/>
        </w:rPr>
        <w:t>2.001-Актуализиране</w:t>
      </w:r>
      <w:r w:rsidR="0074264F" w:rsidRPr="009F251A">
        <w:rPr>
          <w:rFonts w:ascii="Times New Roman" w:hAnsi="Times New Roman"/>
          <w:i/>
          <w:sz w:val="24"/>
          <w:szCs w:val="24"/>
        </w:rPr>
        <w:t>-</w:t>
      </w:r>
      <w:r w:rsidR="0074264F">
        <w:rPr>
          <w:rFonts w:ascii="Times New Roman" w:hAnsi="Times New Roman"/>
          <w:i/>
          <w:sz w:val="24"/>
          <w:szCs w:val="24"/>
        </w:rPr>
        <w:t>КМ</w:t>
      </w:r>
      <w:r w:rsidR="0074264F" w:rsidRPr="00933F09">
        <w:rPr>
          <w:rFonts w:ascii="Times New Roman" w:hAnsi="Times New Roman"/>
          <w:i/>
          <w:sz w:val="24"/>
          <w:szCs w:val="24"/>
        </w:rPr>
        <w:t>.</w:t>
      </w:r>
      <w:r w:rsidR="0074264F" w:rsidRPr="009F251A">
        <w:rPr>
          <w:rFonts w:ascii="Times New Roman" w:hAnsi="Times New Roman"/>
          <w:i/>
          <w:sz w:val="24"/>
          <w:szCs w:val="24"/>
          <w:lang w:val="en-US"/>
        </w:rPr>
        <w:t>xls</w:t>
      </w:r>
      <w:r w:rsidR="00BC6FE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BC6FEA"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>(изключва се предварителната индексация от 15 %, приложена през 2025 г.)</w:t>
      </w:r>
      <w:r w:rsidR="0074264F">
        <w:rPr>
          <w:rFonts w:ascii="Times New Roman" w:hAnsi="Times New Roman"/>
          <w:iCs/>
          <w:sz w:val="24"/>
          <w:szCs w:val="24"/>
        </w:rPr>
        <w:t>.</w:t>
      </w:r>
      <w:r w:rsidR="007D6772">
        <w:rPr>
          <w:rFonts w:ascii="Times New Roman" w:hAnsi="Times New Roman"/>
          <w:iCs/>
          <w:sz w:val="24"/>
          <w:szCs w:val="24"/>
        </w:rPr>
        <w:t xml:space="preserve"> </w:t>
      </w:r>
    </w:p>
    <w:p w14:paraId="5A008567" w14:textId="68FE5EED" w:rsidR="0074264F" w:rsidRDefault="00A725A4" w:rsidP="001C37D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</w:t>
      </w:r>
      <w:r w:rsidR="00627C1C">
        <w:rPr>
          <w:rFonts w:ascii="Times New Roman" w:hAnsi="Times New Roman"/>
          <w:iCs/>
          <w:sz w:val="24"/>
          <w:szCs w:val="24"/>
        </w:rPr>
        <w:t>ър</w:t>
      </w:r>
      <w:r>
        <w:rPr>
          <w:rFonts w:ascii="Times New Roman" w:hAnsi="Times New Roman"/>
          <w:iCs/>
          <w:sz w:val="24"/>
          <w:szCs w:val="24"/>
        </w:rPr>
        <w:t>в</w:t>
      </w:r>
      <w:r w:rsidR="00627C1C">
        <w:rPr>
          <w:rFonts w:ascii="Times New Roman" w:hAnsi="Times New Roman"/>
          <w:iCs/>
          <w:sz w:val="24"/>
          <w:szCs w:val="24"/>
        </w:rPr>
        <w:t>ата</w:t>
      </w:r>
      <w:r w:rsidR="007D6772">
        <w:rPr>
          <w:rFonts w:ascii="Times New Roman" w:hAnsi="Times New Roman"/>
          <w:iCs/>
          <w:sz w:val="24"/>
          <w:szCs w:val="24"/>
        </w:rPr>
        <w:t xml:space="preserve"> актуализация се извърш</w:t>
      </w:r>
      <w:r>
        <w:rPr>
          <w:rFonts w:ascii="Times New Roman" w:hAnsi="Times New Roman"/>
          <w:iCs/>
          <w:sz w:val="24"/>
          <w:szCs w:val="24"/>
        </w:rPr>
        <w:t>ва</w:t>
      </w:r>
      <w:r w:rsidR="007D6772">
        <w:rPr>
          <w:rFonts w:ascii="Times New Roman" w:hAnsi="Times New Roman"/>
          <w:iCs/>
          <w:sz w:val="24"/>
          <w:szCs w:val="24"/>
        </w:rPr>
        <w:t xml:space="preserve"> през 2026 г.</w:t>
      </w:r>
      <w:r w:rsidR="00811C1C">
        <w:rPr>
          <w:rFonts w:ascii="Times New Roman" w:hAnsi="Times New Roman"/>
          <w:iCs/>
          <w:sz w:val="24"/>
          <w:szCs w:val="24"/>
        </w:rPr>
        <w:t xml:space="preserve"> </w:t>
      </w:r>
      <w:r w:rsidR="008E306F">
        <w:rPr>
          <w:rFonts w:ascii="Times New Roman" w:hAnsi="Times New Roman"/>
          <w:iCs/>
          <w:sz w:val="24"/>
          <w:szCs w:val="24"/>
        </w:rPr>
        <w:t>след</w:t>
      </w:r>
      <w:r w:rsidR="00627C1C" w:rsidRPr="009F251A">
        <w:rPr>
          <w:rFonts w:ascii="Times New Roman" w:hAnsi="Times New Roman"/>
          <w:iCs/>
          <w:sz w:val="24"/>
          <w:szCs w:val="24"/>
        </w:rPr>
        <w:t xml:space="preserve"> </w:t>
      </w:r>
      <w:r w:rsidR="00627C1C">
        <w:rPr>
          <w:rFonts w:ascii="Times New Roman" w:hAnsi="Times New Roman"/>
          <w:iCs/>
          <w:sz w:val="24"/>
          <w:szCs w:val="24"/>
        </w:rPr>
        <w:t xml:space="preserve">публикуването на нови данни от НСИ или Евростат (средна годишна промяна на индекса на разходите за труд в сектор „Образование“ спрямо базовата </w:t>
      </w:r>
      <w:r w:rsidR="00627C1C" w:rsidRPr="00472D04">
        <w:rPr>
          <w:rFonts w:ascii="Times New Roman" w:hAnsi="Times New Roman"/>
          <w:iCs/>
          <w:sz w:val="24"/>
          <w:szCs w:val="24"/>
        </w:rPr>
        <w:t>202</w:t>
      </w:r>
      <w:r w:rsidR="002649F7">
        <w:rPr>
          <w:rFonts w:ascii="Times New Roman" w:hAnsi="Times New Roman"/>
          <w:iCs/>
          <w:sz w:val="24"/>
          <w:szCs w:val="24"/>
        </w:rPr>
        <w:t>4</w:t>
      </w:r>
      <w:r w:rsidR="00627C1C" w:rsidRPr="00472D04">
        <w:rPr>
          <w:rFonts w:ascii="Times New Roman" w:hAnsi="Times New Roman"/>
          <w:iCs/>
          <w:sz w:val="24"/>
          <w:szCs w:val="24"/>
        </w:rPr>
        <w:t xml:space="preserve"> година</w:t>
      </w:r>
      <w:r w:rsidR="00457E8C">
        <w:rPr>
          <w:rFonts w:ascii="Times New Roman" w:hAnsi="Times New Roman"/>
          <w:iCs/>
          <w:sz w:val="24"/>
          <w:szCs w:val="24"/>
        </w:rPr>
        <w:t xml:space="preserve"> – за единичен разход 3.29</w:t>
      </w:r>
      <w:r w:rsidR="00627C1C" w:rsidRPr="00472D04">
        <w:rPr>
          <w:rFonts w:ascii="Times New Roman" w:hAnsi="Times New Roman"/>
          <w:iCs/>
          <w:sz w:val="24"/>
          <w:szCs w:val="24"/>
        </w:rPr>
        <w:t>)</w:t>
      </w:r>
      <w:r w:rsidR="00F42A4D">
        <w:rPr>
          <w:rFonts w:ascii="Times New Roman" w:hAnsi="Times New Roman"/>
          <w:iCs/>
          <w:sz w:val="24"/>
          <w:szCs w:val="24"/>
        </w:rPr>
        <w:t>.</w:t>
      </w:r>
      <w:r w:rsidR="00804D30">
        <w:rPr>
          <w:rFonts w:ascii="Times New Roman" w:hAnsi="Times New Roman"/>
          <w:iCs/>
          <w:sz w:val="24"/>
          <w:szCs w:val="24"/>
        </w:rPr>
        <w:t xml:space="preserve"> </w:t>
      </w:r>
    </w:p>
    <w:p w14:paraId="610A9490" w14:textId="36E5F5C0" w:rsidR="0074264F" w:rsidRPr="00C8016C" w:rsidRDefault="0074264F" w:rsidP="007426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lastRenderedPageBreak/>
        <w:t xml:space="preserve">Новите размери на </w:t>
      </w:r>
      <w:r>
        <w:rPr>
          <w:rFonts w:ascii="Times New Roman" w:hAnsi="Times New Roman"/>
          <w:iCs/>
          <w:sz w:val="24"/>
          <w:szCs w:val="24"/>
        </w:rPr>
        <w:t>единичните разходи</w:t>
      </w:r>
      <w:r w:rsidRPr="009F251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за </w:t>
      </w:r>
      <w:r w:rsidR="00302F3D">
        <w:rPr>
          <w:rFonts w:ascii="Times New Roman" w:hAnsi="Times New Roman"/>
          <w:iCs/>
          <w:sz w:val="24"/>
          <w:szCs w:val="24"/>
        </w:rPr>
        <w:t xml:space="preserve">възнаграждения на лекторите и надбавки на участниците при провеждане на </w:t>
      </w:r>
      <w:r w:rsidR="00423C2D">
        <w:rPr>
          <w:rFonts w:ascii="Times New Roman" w:hAnsi="Times New Roman"/>
          <w:iCs/>
          <w:sz w:val="24"/>
          <w:szCs w:val="24"/>
        </w:rPr>
        <w:t>обучения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9F251A">
        <w:rPr>
          <w:rFonts w:ascii="Times New Roman" w:hAnsi="Times New Roman"/>
          <w:sz w:val="24"/>
          <w:szCs w:val="24"/>
        </w:rPr>
        <w:t xml:space="preserve">се публикуват на сайта на УО и до бенефициента се изпраща съобщение през модул „Кореспонденция“ на ИСУН. Актуализираните </w:t>
      </w:r>
      <w:r>
        <w:rPr>
          <w:rFonts w:ascii="Times New Roman" w:hAnsi="Times New Roman"/>
          <w:iCs/>
          <w:sz w:val="24"/>
          <w:szCs w:val="24"/>
        </w:rPr>
        <w:t xml:space="preserve">единични разходи </w:t>
      </w:r>
      <w:r w:rsidR="00E042FF" w:rsidRPr="009F251A">
        <w:rPr>
          <w:rFonts w:ascii="Times New Roman" w:hAnsi="Times New Roman"/>
          <w:sz w:val="24"/>
          <w:szCs w:val="24"/>
        </w:rPr>
        <w:t xml:space="preserve">се прилагат </w:t>
      </w:r>
      <w:r w:rsidR="00927712">
        <w:rPr>
          <w:rFonts w:ascii="Times New Roman" w:hAnsi="Times New Roman"/>
          <w:iCs/>
          <w:sz w:val="24"/>
          <w:szCs w:val="24"/>
        </w:rPr>
        <w:t>при изчисляването на допустимите разходи за обучения</w:t>
      </w:r>
      <w:r w:rsidR="00927712">
        <w:rPr>
          <w:rFonts w:ascii="Times New Roman" w:hAnsi="Times New Roman"/>
          <w:sz w:val="24"/>
          <w:szCs w:val="24"/>
        </w:rPr>
        <w:t xml:space="preserve"> </w:t>
      </w:r>
      <w:r w:rsidR="00E042FF">
        <w:rPr>
          <w:rFonts w:ascii="Times New Roman" w:hAnsi="Times New Roman"/>
          <w:sz w:val="24"/>
          <w:szCs w:val="24"/>
        </w:rPr>
        <w:t>от дата</w:t>
      </w:r>
      <w:r w:rsidR="00E042FF" w:rsidRPr="009F251A">
        <w:rPr>
          <w:rFonts w:ascii="Times New Roman" w:hAnsi="Times New Roman"/>
          <w:sz w:val="24"/>
          <w:szCs w:val="24"/>
        </w:rPr>
        <w:t>, ко</w:t>
      </w:r>
      <w:r w:rsidR="00E042FF">
        <w:rPr>
          <w:rFonts w:ascii="Times New Roman" w:hAnsi="Times New Roman"/>
          <w:sz w:val="24"/>
          <w:szCs w:val="24"/>
        </w:rPr>
        <w:t>я</w:t>
      </w:r>
      <w:r w:rsidR="00E042FF" w:rsidRPr="009F251A">
        <w:rPr>
          <w:rFonts w:ascii="Times New Roman" w:hAnsi="Times New Roman"/>
          <w:sz w:val="24"/>
          <w:szCs w:val="24"/>
        </w:rPr>
        <w:t xml:space="preserve">то </w:t>
      </w:r>
      <w:r w:rsidR="00E042FF">
        <w:rPr>
          <w:rFonts w:ascii="Times New Roman" w:hAnsi="Times New Roman"/>
          <w:sz w:val="24"/>
          <w:szCs w:val="24"/>
        </w:rPr>
        <w:t>е посочена в съобщението, изпратено от УО</w:t>
      </w:r>
      <w:r w:rsidRPr="009F251A">
        <w:rPr>
          <w:rFonts w:ascii="Times New Roman" w:hAnsi="Times New Roman"/>
          <w:sz w:val="24"/>
          <w:szCs w:val="24"/>
        </w:rPr>
        <w:t>.</w:t>
      </w:r>
    </w:p>
    <w:p w14:paraId="04DBA28B" w14:textId="78F752FC" w:rsidR="002D1F13" w:rsidRDefault="002D1F13" w:rsidP="002D1F13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14:paraId="03C34E05" w14:textId="77777777" w:rsidR="00CE3363" w:rsidRDefault="00CE3363" w:rsidP="00CE3363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14:paraId="62DC166D" w14:textId="2F1198CC" w:rsidR="0030636B" w:rsidRPr="009F251A" w:rsidRDefault="00CE3363" w:rsidP="0030636B">
      <w:pPr>
        <w:pStyle w:val="Style1"/>
        <w:ind w:left="357" w:hanging="357"/>
      </w:pPr>
      <w:r>
        <w:t xml:space="preserve">Определяне на </w:t>
      </w:r>
      <w:r w:rsidR="008700DD">
        <w:t xml:space="preserve">допустимите </w:t>
      </w:r>
      <w:r w:rsidR="00504DB0">
        <w:t>разходи</w:t>
      </w:r>
      <w:r>
        <w:t xml:space="preserve"> за изпълнение на РП 1</w:t>
      </w:r>
    </w:p>
    <w:p w14:paraId="30553561" w14:textId="77777777" w:rsidR="0030636B" w:rsidRPr="009F251A" w:rsidRDefault="0030636B" w:rsidP="0030636B">
      <w:pPr>
        <w:spacing w:after="0" w:line="360" w:lineRule="auto"/>
        <w:ind w:firstLine="709"/>
        <w:jc w:val="both"/>
        <w:rPr>
          <w:rFonts w:ascii="Times New Roman" w:eastAsia="SimSun" w:hAnsi="Times New Roman"/>
          <w:bCs/>
          <w:color w:val="FF0000"/>
          <w:sz w:val="24"/>
          <w:szCs w:val="24"/>
          <w:lang w:eastAsia="zh-CN"/>
        </w:rPr>
      </w:pPr>
    </w:p>
    <w:p w14:paraId="03DD292A" w14:textId="454919CE" w:rsidR="00363189" w:rsidRPr="00363189" w:rsidRDefault="00AB7EAC" w:rsidP="00363189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Условията за кандидатстване </w:t>
      </w:r>
      <w:r w:rsidR="001261C7" w:rsidRPr="001261C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 </w:t>
      </w:r>
      <w:r w:rsidR="00A44FE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посочено, че </w:t>
      </w:r>
      <w:r w:rsidR="00A44FE8" w:rsidRPr="00A44FE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РП 1 се изпълнява от Конкретния бенефициент МОН, продължава през целия период на изпълнение на проекта и включва най-малко </w:t>
      </w:r>
      <w:r w:rsidR="00363189"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>следните задължителни крайни продукти:</w:t>
      </w:r>
    </w:p>
    <w:p w14:paraId="5680E621" w14:textId="1384D390" w:rsidR="00363189" w:rsidRPr="00363189" w:rsidRDefault="00363189" w:rsidP="00BA3222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>Утвърдена банка с индикативно 350 ментори (минимална стойност 280 ментори);</w:t>
      </w:r>
    </w:p>
    <w:p w14:paraId="2A0970D5" w14:textId="5B7186FD" w:rsidR="00363189" w:rsidRPr="00363189" w:rsidRDefault="00363189" w:rsidP="00BA3222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>Разработена методология за менторство и коучинг;</w:t>
      </w:r>
    </w:p>
    <w:p w14:paraId="473A63FC" w14:textId="1FC9F451" w:rsidR="00363189" w:rsidRPr="00363189" w:rsidRDefault="00363189" w:rsidP="00BA3222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>Разработени 5 базови модули за обучение на педагогически специалисти за разработване и прилагане на МПРКК и за изпълнение на дейности по него;</w:t>
      </w:r>
    </w:p>
    <w:p w14:paraId="261A94C3" w14:textId="3DD5FFC8" w:rsidR="00363189" w:rsidRPr="00363189" w:rsidRDefault="00363189" w:rsidP="00BA3222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>Осигурена продължаваща подкрепа на екип за методическа подкрепа на менторите (за първа, втора и трета учебна година);</w:t>
      </w:r>
    </w:p>
    <w:p w14:paraId="64C9CAFD" w14:textId="319E2BD5" w:rsidR="00363189" w:rsidRPr="00363189" w:rsidRDefault="00363189" w:rsidP="00BA3222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Проведени обучителни семинари </w:t>
      </w:r>
      <w:r w:rsidR="00556944">
        <w:rPr>
          <w:rFonts w:ascii="Times New Roman" w:eastAsia="Times New Roman" w:hAnsi="Times New Roman"/>
          <w:color w:val="000000" w:themeColor="text1"/>
          <w:sz w:val="24"/>
          <w:szCs w:val="24"/>
        </w:rPr>
        <w:t>–</w:t>
      </w: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тридневни обучения с индикативно 1883 обучаеми (1500 директори, 350 ментори, 28 регионални експерти по образование и обучение, екип от 5 души за методическа подкрепа на менторите)</w:t>
      </w:r>
      <w:r w:rsidR="001A64A7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14:paraId="2BB85BB0" w14:textId="77777777" w:rsidR="00616CCD" w:rsidRDefault="00363189" w:rsidP="00616CCD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63189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 350 ментори (на всеки ментор се предоставя средно по 72 академични часа присъствено обучение);</w:t>
      </w:r>
    </w:p>
    <w:p w14:paraId="1357361B" w14:textId="789FF64A" w:rsidR="00363189" w:rsidRPr="00BA3222" w:rsidRDefault="00363189" w:rsidP="00BA3222">
      <w:pPr>
        <w:pStyle w:val="ListParagraph"/>
        <w:numPr>
          <w:ilvl w:val="0"/>
          <w:numId w:val="17"/>
        </w:numPr>
        <w:spacing w:before="120" w:after="12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 6 000 педагогически специалисти (на всеки ПС се предоставя средно по 40 академични часа синхронно обучение от разстояние в електронна среда).</w:t>
      </w:r>
    </w:p>
    <w:p w14:paraId="06B61F02" w14:textId="66055248" w:rsidR="00245AB6" w:rsidRPr="00245AB6" w:rsidRDefault="00245AB6" w:rsidP="00BA3222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попълването на  приложение </w:t>
      </w:r>
      <w:r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(Приложение IV към Условията за кандидатстване) КБ-МОН обосновава необходимите човешки ресурси за създаването на отделните крайни продукти</w:t>
      </w:r>
      <w:r w:rsidR="0052175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или провеждане на </w:t>
      </w:r>
      <w:r w:rsidR="0014673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планираните </w:t>
      </w:r>
      <w:r w:rsidR="00521753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обучения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Въз основа на заложения брой отработени часове и чрез прилагане на подхода съгласно чл. 56 от Регламент (ЕС) 2021/1060, се изчислява индикативният размер на разходите за създаване на всеки </w:t>
      </w:r>
      <w:r w:rsidR="0023156E">
        <w:rPr>
          <w:rFonts w:ascii="Times New Roman" w:eastAsia="Times New Roman" w:hAnsi="Times New Roman"/>
          <w:color w:val="000000" w:themeColor="text1"/>
          <w:sz w:val="24"/>
          <w:szCs w:val="24"/>
        </w:rPr>
        <w:t>краен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продукт (група продукти)</w:t>
      </w:r>
      <w:r w:rsidR="0014673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или съответен тип обучение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Прилагат се </w:t>
      </w:r>
      <w:r w:rsidR="00D33D64" w:rsidRPr="000C61D8">
        <w:rPr>
          <w:rFonts w:ascii="Times New Roman" w:eastAsia="Times New Roman" w:hAnsi="Times New Roman"/>
          <w:color w:val="000000" w:themeColor="text1"/>
          <w:sz w:val="24"/>
          <w:szCs w:val="24"/>
        </w:rPr>
        <w:t>средн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="00D33D64" w:rsidRPr="000C61D8">
        <w:rPr>
          <w:rFonts w:ascii="Times New Roman" w:eastAsia="Times New Roman" w:hAnsi="Times New Roman"/>
          <w:color w:val="000000" w:themeColor="text1"/>
          <w:sz w:val="24"/>
          <w:szCs w:val="24"/>
        </w:rPr>
        <w:t>т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D33D64" w:rsidRPr="000C61D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нив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="00D33D64" w:rsidRPr="000C61D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възнаграждения за учени от 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>ЕС</w:t>
      </w:r>
      <w:r w:rsidR="00D33D64" w:rsidRPr="000C61D8">
        <w:rPr>
          <w:rFonts w:ascii="Times New Roman" w:eastAsia="Times New Roman" w:hAnsi="Times New Roman"/>
          <w:color w:val="000000" w:themeColor="text1"/>
          <w:sz w:val="24"/>
          <w:szCs w:val="24"/>
        </w:rPr>
        <w:t>, използван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="00D33D64" w:rsidRPr="000C61D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 проектите, финансирани от Рамковата програма „Хоризонт Европа“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57732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единичен разход 3.28, </w:t>
      </w:r>
      <w:r w:rsidR="00D33D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както е обосновано в раздел 2. 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След одобрение от оценителната комисия сумата от разходите за планираните </w:t>
      </w:r>
      <w:r w:rsidR="00081F50">
        <w:rPr>
          <w:rFonts w:ascii="Times New Roman" w:eastAsia="Times New Roman" w:hAnsi="Times New Roman"/>
          <w:color w:val="000000" w:themeColor="text1"/>
          <w:sz w:val="24"/>
          <w:szCs w:val="24"/>
        </w:rPr>
        <w:t>интелектуални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продукти </w:t>
      </w:r>
      <w:r w:rsidR="00610C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</w:t>
      </w:r>
      <w:r w:rsidR="00081F5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проведени </w:t>
      </w:r>
      <w:r w:rsidR="00610C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обучения 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>се въвежда в ИСУН като бюджет за работен пакет</w:t>
      </w:r>
      <w:r w:rsidR="00947E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3D0521E" w14:textId="23067283" w:rsidR="00245AB6" w:rsidRPr="00245AB6" w:rsidRDefault="00245AB6" w:rsidP="00245AB6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изпълнението на РП </w:t>
      </w:r>
      <w:r w:rsidR="00E8310B"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всеки отчетен и верифициран краен продукт (група продукти) се възстановява </w:t>
      </w:r>
      <w:r w:rsidR="00B16E9B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>, ко</w:t>
      </w:r>
      <w:r w:rsidR="00B16E9B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Pr="00245AB6">
        <w:rPr>
          <w:rFonts w:ascii="Times New Roman" w:eastAsia="Times New Roman" w:hAnsi="Times New Roman"/>
          <w:color w:val="000000" w:themeColor="text1"/>
          <w:sz w:val="24"/>
          <w:szCs w:val="24"/>
        </w:rPr>
        <w:t>то се изчислява въз основа на броя на отработените часове от наетите експерти по следната формула:</w:t>
      </w:r>
    </w:p>
    <w:p w14:paraId="63753BF7" w14:textId="3D3E54A0" w:rsidR="00AC124D" w:rsidRPr="00BA3222" w:rsidRDefault="00B16E9B" w:rsidP="00245AB6">
      <w:pPr>
        <w:pStyle w:val="ListParagraph"/>
        <w:numPr>
          <w:ilvl w:val="0"/>
          <w:numId w:val="17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A32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Сума</w:t>
      </w:r>
      <w:r w:rsidR="00245AB6" w:rsidRPr="00BA32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= (Брой часове х Е</w:t>
      </w:r>
      <w:r w:rsidR="004F0FAB" w:rsidRPr="00BA32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кспертЕС</w:t>
      </w:r>
      <w:r w:rsidR="00245AB6" w:rsidRPr="00BA32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+ Брой часове х </w:t>
      </w:r>
      <w:r w:rsidR="00D87AF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ЕР 3.28</w:t>
      </w:r>
      <w:r w:rsidR="00245AB6" w:rsidRPr="00BA32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) х 1,4</w:t>
      </w:r>
    </w:p>
    <w:p w14:paraId="7672D80C" w14:textId="4A76BB87" w:rsidR="00FB5BA2" w:rsidRPr="00F05EB4" w:rsidRDefault="00FB5BA2" w:rsidP="006652BC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След това се определят другите преки и непреки разходи </w:t>
      </w:r>
      <w:r w:rsidR="00052DB2">
        <w:rPr>
          <w:rFonts w:ascii="Times New Roman" w:eastAsia="Times New Roman" w:hAnsi="Times New Roman"/>
          <w:color w:val="000000" w:themeColor="text1"/>
          <w:sz w:val="24"/>
          <w:szCs w:val="24"/>
        </w:rPr>
        <w:t>– 40 % от преките разходи за персонал съгласно</w:t>
      </w:r>
      <w:r w:rsidR="00C371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чл. 56 от </w:t>
      </w:r>
      <w:r w:rsidR="00C37114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 w:rsidR="00052DB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0B9445CE" w14:textId="77777777" w:rsidR="009519CE" w:rsidRDefault="00E51303" w:rsidP="006652BC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 писм</w:t>
      </w:r>
      <w:r w:rsidR="00235CA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 </w:t>
      </w:r>
      <w:r w:rsidR="00235CAA" w:rsidRPr="00235CAA">
        <w:rPr>
          <w:rFonts w:ascii="Times New Roman" w:eastAsia="Times New Roman" w:hAnsi="Times New Roman"/>
          <w:color w:val="000000" w:themeColor="text1"/>
          <w:sz w:val="24"/>
          <w:szCs w:val="24"/>
        </w:rPr>
        <w:t>от компетентния държавен орган Министерство на образованието и науката № 0701-164/27.03.2025 г. и № 0701-164/07.07.2025 г.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36328">
        <w:rPr>
          <w:rFonts w:ascii="Times New Roman" w:eastAsia="Times New Roman" w:hAnsi="Times New Roman"/>
          <w:color w:val="000000" w:themeColor="text1"/>
          <w:sz w:val="24"/>
          <w:szCs w:val="24"/>
        </w:rPr>
        <w:t>са описани основните дейности, които обхваща Работен пакет 1</w:t>
      </w:r>
      <w:r w:rsidR="001B4F0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включително и </w:t>
      </w:r>
      <w:r w:rsidR="00160C0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планираните </w:t>
      </w:r>
      <w:r w:rsidR="001B4F06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обучения</w:t>
      </w:r>
      <w:r w:rsidR="009519CE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27B4AF19" w14:textId="71C67941" w:rsidR="009519CE" w:rsidRDefault="009519CE" w:rsidP="0039590B">
      <w:pPr>
        <w:pStyle w:val="ListParagraph"/>
        <w:numPr>
          <w:ilvl w:val="0"/>
          <w:numId w:val="18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519CE">
        <w:rPr>
          <w:rFonts w:ascii="Times New Roman" w:eastAsia="Times New Roman" w:hAnsi="Times New Roman"/>
          <w:color w:val="000000" w:themeColor="text1"/>
          <w:sz w:val="24"/>
          <w:szCs w:val="24"/>
        </w:rPr>
        <w:t>Обучения на ментори (тридневно обучение с две нощувки без присъждане на кредити)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="00BB7E1B">
        <w:rPr>
          <w:rFonts w:ascii="Times New Roman" w:eastAsia="Times New Roman" w:hAnsi="Times New Roman"/>
          <w:color w:val="000000" w:themeColor="text1"/>
          <w:sz w:val="24"/>
          <w:szCs w:val="24"/>
        </w:rPr>
        <w:t>Лекторите са</w:t>
      </w:r>
      <w:r w:rsidR="0075570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от научния екип, който </w:t>
      </w:r>
      <w:r w:rsidR="00B32B3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има </w:t>
      </w:r>
      <w:r w:rsidR="00272E37">
        <w:rPr>
          <w:rFonts w:ascii="Times New Roman" w:eastAsia="Times New Roman" w:hAnsi="Times New Roman"/>
          <w:color w:val="000000" w:themeColor="text1"/>
          <w:sz w:val="24"/>
          <w:szCs w:val="24"/>
        </w:rPr>
        <w:t>дългосроч</w:t>
      </w:r>
      <w:r w:rsidR="005E78D6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272E37">
        <w:rPr>
          <w:rFonts w:ascii="Times New Roman" w:eastAsia="Times New Roman" w:hAnsi="Times New Roman"/>
          <w:color w:val="000000" w:themeColor="text1"/>
          <w:sz w:val="24"/>
          <w:szCs w:val="24"/>
        </w:rPr>
        <w:t>н ангажи</w:t>
      </w:r>
      <w:r w:rsidR="005E78D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мент </w:t>
      </w:r>
      <w:r w:rsidR="00272E37">
        <w:rPr>
          <w:rFonts w:ascii="Times New Roman" w:eastAsia="Times New Roman" w:hAnsi="Times New Roman"/>
          <w:color w:val="000000" w:themeColor="text1"/>
          <w:sz w:val="24"/>
          <w:szCs w:val="24"/>
        </w:rPr>
        <w:t>и получава възнаграждения</w:t>
      </w:r>
      <w:r w:rsidR="005E78D6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731A0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затова не </w:t>
      </w:r>
      <w:r w:rsidR="00FA53EF">
        <w:rPr>
          <w:rFonts w:ascii="Times New Roman" w:eastAsia="Times New Roman" w:hAnsi="Times New Roman"/>
          <w:color w:val="000000" w:themeColor="text1"/>
          <w:sz w:val="24"/>
          <w:szCs w:val="24"/>
        </w:rPr>
        <w:t>е оправдано да се планира</w:t>
      </w:r>
      <w:r w:rsidR="00731A0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допълнително заплащане на </w:t>
      </w:r>
      <w:r w:rsidR="00D1289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хонорари на </w:t>
      </w:r>
      <w:r w:rsidR="00731A03">
        <w:rPr>
          <w:rFonts w:ascii="Times New Roman" w:eastAsia="Times New Roman" w:hAnsi="Times New Roman"/>
          <w:color w:val="000000" w:themeColor="text1"/>
          <w:sz w:val="24"/>
          <w:szCs w:val="24"/>
        </w:rPr>
        <w:t>лекторите.</w:t>
      </w:r>
      <w:r w:rsidR="0075570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9779CE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="00D1289C">
        <w:rPr>
          <w:rFonts w:ascii="Times New Roman" w:eastAsia="Times New Roman" w:hAnsi="Times New Roman"/>
          <w:color w:val="000000" w:themeColor="text1"/>
          <w:sz w:val="24"/>
          <w:szCs w:val="24"/>
        </w:rPr>
        <w:t>бученията са изнесе</w:t>
      </w:r>
      <w:r w:rsidR="00F41A0F">
        <w:rPr>
          <w:rFonts w:ascii="Times New Roman" w:eastAsia="Times New Roman" w:hAnsi="Times New Roman"/>
          <w:color w:val="000000" w:themeColor="text1"/>
          <w:sz w:val="24"/>
          <w:szCs w:val="24"/>
        </w:rPr>
        <w:t>н</w:t>
      </w:r>
      <w:r w:rsidR="00D1289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</w:t>
      </w:r>
      <w:r w:rsidR="003959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</w:t>
      </w:r>
      <w:r w:rsidR="00D1289C">
        <w:rPr>
          <w:rFonts w:ascii="Times New Roman" w:eastAsia="Times New Roman" w:hAnsi="Times New Roman"/>
          <w:color w:val="000000" w:themeColor="text1"/>
          <w:sz w:val="24"/>
          <w:szCs w:val="24"/>
        </w:rPr>
        <w:t>затова се о</w:t>
      </w:r>
      <w:r w:rsidR="009779CE">
        <w:rPr>
          <w:rFonts w:ascii="Times New Roman" w:eastAsia="Times New Roman" w:hAnsi="Times New Roman"/>
          <w:color w:val="000000" w:themeColor="text1"/>
          <w:sz w:val="24"/>
          <w:szCs w:val="24"/>
        </w:rPr>
        <w:t>пределя единичен разход за надбавки на участниците</w:t>
      </w:r>
      <w:r w:rsidR="00D1289C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0F27C1C5" w14:textId="08A4CC1F" w:rsidR="001314CB" w:rsidRDefault="001314CB" w:rsidP="0039590B">
      <w:pPr>
        <w:pStyle w:val="ListParagraph"/>
        <w:numPr>
          <w:ilvl w:val="0"/>
          <w:numId w:val="18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314CB">
        <w:rPr>
          <w:rFonts w:ascii="Times New Roman" w:eastAsia="Times New Roman" w:hAnsi="Times New Roman"/>
          <w:color w:val="000000" w:themeColor="text1"/>
          <w:sz w:val="24"/>
          <w:szCs w:val="24"/>
        </w:rPr>
        <w:t>Провеждане на базовите обучителни модули, задължителни за всички училища</w:t>
      </w:r>
      <w:r w:rsidR="00176A9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1314CB">
        <w:rPr>
          <w:rFonts w:ascii="Times New Roman" w:eastAsia="Times New Roman" w:hAnsi="Times New Roman"/>
          <w:color w:val="000000" w:themeColor="text1"/>
          <w:sz w:val="24"/>
          <w:szCs w:val="24"/>
        </w:rPr>
        <w:t>в проекта, през година 1 и началото на година 2 (онлайн обучение с присъждане на  един кредит)</w:t>
      </w:r>
      <w:r w:rsidR="002B4BF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85031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Обученията са с лектори от научния екип и затова не е оправдано да се планират допълнителни разходи за тези обучения.</w:t>
      </w:r>
    </w:p>
    <w:p w14:paraId="04980596" w14:textId="59407886" w:rsidR="003432F8" w:rsidRDefault="007775BC" w:rsidP="00BA3222">
      <w:pPr>
        <w:pStyle w:val="ListParagraph"/>
        <w:numPr>
          <w:ilvl w:val="0"/>
          <w:numId w:val="18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775BC">
        <w:rPr>
          <w:rFonts w:ascii="Times New Roman" w:eastAsia="Times New Roman" w:hAnsi="Times New Roman"/>
          <w:color w:val="000000" w:themeColor="text1"/>
          <w:sz w:val="24"/>
          <w:szCs w:val="24"/>
        </w:rPr>
        <w:t>Провеждане на обучителни семинари за целите на проекта и дейностите (тридневно обучение с нощувки без присъждане на кредити)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 За този тип обучения</w:t>
      </w:r>
      <w:r w:rsidR="004D40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които </w:t>
      </w:r>
      <w:r w:rsidR="00A27C0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провеждат от външни организации/лектори,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3C4A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изчислява общ разход за 1 група обучаеми, както е описано в раздел </w:t>
      </w:r>
      <w:r w:rsidR="001D5846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003C4A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="001F6043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Разглежданото </w:t>
      </w:r>
      <w:r w:rsidR="001F6043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обучение е обучение тип</w:t>
      </w: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4D4025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1.41</w:t>
      </w:r>
      <w:r w:rsidR="001F6043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953AA9">
        <w:rPr>
          <w:rFonts w:ascii="Times New Roman" w:eastAsia="Times New Roman" w:hAnsi="Times New Roman"/>
          <w:color w:val="000000" w:themeColor="text1"/>
          <w:sz w:val="24"/>
          <w:szCs w:val="24"/>
        </w:rPr>
        <w:t>(от приложение ТЕР</w:t>
      </w:r>
      <w:r w:rsidR="00E32DAA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="00953AA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С-ПО) </w:t>
      </w:r>
      <w:r w:rsidR="001F6043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за него е изчислен </w:t>
      </w:r>
      <w:r w:rsidR="00953AA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примерен </w:t>
      </w:r>
      <w:r w:rsidR="001F6043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общ разход за 1 г</w:t>
      </w:r>
      <w:r w:rsidR="00953AA9">
        <w:rPr>
          <w:rFonts w:ascii="Times New Roman" w:eastAsia="Times New Roman" w:hAnsi="Times New Roman"/>
          <w:color w:val="000000" w:themeColor="text1"/>
          <w:sz w:val="24"/>
          <w:szCs w:val="24"/>
        </w:rPr>
        <w:t>рупа със средно 15 обучаеми.</w:t>
      </w:r>
      <w:r w:rsidR="00B036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780FCEE3" w14:textId="78AA7AD3" w:rsidR="00B036AF" w:rsidRPr="00B036AF" w:rsidRDefault="009E1563" w:rsidP="00BA3222">
      <w:pPr>
        <w:pStyle w:val="ListParagraph"/>
        <w:numPr>
          <w:ilvl w:val="0"/>
          <w:numId w:val="18"/>
        </w:numPr>
        <w:spacing w:before="120"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улеснение на кандидата допустимите разходи за посочените </w:t>
      </w:r>
      <w:r w:rsidR="00B036AF" w:rsidRPr="00B036AF">
        <w:rPr>
          <w:rFonts w:ascii="Times New Roman" w:eastAsia="Times New Roman" w:hAnsi="Times New Roman"/>
          <w:color w:val="000000" w:themeColor="text1"/>
          <w:sz w:val="24"/>
          <w:szCs w:val="24"/>
        </w:rPr>
        <w:t>тип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ове</w:t>
      </w:r>
      <w:r w:rsidR="00B036AF" w:rsidRPr="00B036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обучени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="00B036AF" w:rsidRPr="00B036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4676DC">
        <w:rPr>
          <w:rFonts w:ascii="Times New Roman" w:eastAsia="Times New Roman" w:hAnsi="Times New Roman"/>
          <w:color w:val="000000" w:themeColor="text1"/>
          <w:sz w:val="24"/>
          <w:szCs w:val="24"/>
        </w:rPr>
        <w:t>са въведени във</w:t>
      </w:r>
      <w:r w:rsidR="00B036AF" w:rsidRPr="00B036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файла </w:t>
      </w:r>
      <w:r w:rsidR="00B036AF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Помощна-таблица-КМ.xls</w:t>
      </w:r>
      <w:r w:rsidR="004638E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4676D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 може да се ползват от кандидата. </w:t>
      </w:r>
      <w:r w:rsidR="00B036AF" w:rsidRPr="00B036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Кандидатът може да зададе друг тип обучение или друг среден брой обучаеми в 1 група и съответно да изчисли </w:t>
      </w:r>
      <w:r w:rsidR="0035085E">
        <w:rPr>
          <w:rFonts w:ascii="Times New Roman" w:eastAsia="Times New Roman" w:hAnsi="Times New Roman"/>
          <w:color w:val="000000" w:themeColor="text1"/>
          <w:sz w:val="24"/>
          <w:szCs w:val="24"/>
        </w:rPr>
        <w:t>допустимите разходи при променените параметри на обучението</w:t>
      </w:r>
      <w:r w:rsidR="00B036AF" w:rsidRPr="00B036AF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0013BB3B" w14:textId="195C9043" w:rsidR="007775BC" w:rsidRPr="00BF1990" w:rsidRDefault="00B036AF" w:rsidP="00BA3222">
      <w:pPr>
        <w:spacing w:before="120"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етап изпълнение на проекта за всяко проведено обучение се възстановява сума за 1 група обучаеми, която е изчислена като се използват актуалните размери на единичен разход 3.29 и разходите за надбавки на участниците и се прилагат формулите, посочени във файла </w:t>
      </w:r>
      <w:r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2.001-Актуализиране-КМ.xls</w:t>
      </w:r>
      <w:r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(изключва се предварителната индексация от 15 %, приложена през 2025 г.).</w:t>
      </w:r>
    </w:p>
    <w:p w14:paraId="19D78BCC" w14:textId="31BB838B" w:rsidR="00D11256" w:rsidRPr="007E0139" w:rsidRDefault="003A2B54" w:rsidP="00AA0139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151DA"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="0016208D">
        <w:rPr>
          <w:rFonts w:ascii="Times New Roman" w:eastAsia="Times New Roman" w:hAnsi="Times New Roman"/>
          <w:color w:val="000000" w:themeColor="text1"/>
          <w:sz w:val="24"/>
          <w:szCs w:val="24"/>
        </w:rPr>
        <w:t>азходите, необходими за провеждане на обученията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CC5EE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включени в РП 1, се </w:t>
      </w:r>
      <w:r w:rsidR="00795D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сумират с преките разходи за персонал и другите преки и непреки разходи и така се </w:t>
      </w:r>
      <w:r w:rsidR="00CC5EEB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</w:t>
      </w:r>
      <w:r w:rsidR="008C429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общата сума</w:t>
      </w:r>
      <w:r w:rsidR="0061245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</w:t>
      </w:r>
      <w:r w:rsidR="00160F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допустимите </w:t>
      </w:r>
      <w:r w:rsidR="0061245F">
        <w:rPr>
          <w:rFonts w:ascii="Times New Roman" w:eastAsia="Times New Roman" w:hAnsi="Times New Roman"/>
          <w:color w:val="000000" w:themeColor="text1"/>
          <w:sz w:val="24"/>
          <w:szCs w:val="24"/>
        </w:rPr>
        <w:t>разходи, необходим</w:t>
      </w:r>
      <w:r w:rsidR="00160F0C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="0061245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изпълнението на РП 1.</w:t>
      </w:r>
      <w:r w:rsidR="00B2422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35E3DDD3" w14:textId="2FA4BFB5" w:rsidR="00814714" w:rsidRDefault="004638ED" w:rsidP="00CC6C89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Примерните изчисления </w:t>
      </w:r>
      <w:r w:rsidR="008147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са описани в приложения файл </w:t>
      </w:r>
      <w:r w:rsidR="00814714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2.001-Актуализиране</w:t>
      </w:r>
      <w:r w:rsidR="00B7557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-КМ</w:t>
      </w:r>
      <w:r w:rsidR="00814714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  <w:r w:rsidR="00814714" w:rsidRPr="00CD75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xls</w:t>
      </w:r>
      <w:r w:rsidR="009A6D3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r w:rsidR="009A6D31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както и в приложение</w:t>
      </w:r>
      <w:r w:rsidR="009A6D3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9A6D31" w:rsidRPr="005C02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Помощна-таблица-КМ.xls.</w:t>
      </w:r>
    </w:p>
    <w:p w14:paraId="0693046B" w14:textId="44ADA30C" w:rsidR="00E705CE" w:rsidRDefault="003E50E6" w:rsidP="00796D6D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Одобрената</w:t>
      </w: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 w:rsidR="004A493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изпълнението на РП 1 се възстановява </w:t>
      </w:r>
      <w:r w:rsidR="00AC453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</w:t>
      </w:r>
      <w:r w:rsidR="007C4B7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8 </w:t>
      </w:r>
      <w:r w:rsidR="0093379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междинни 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отчетни периода, съответстващи на </w:t>
      </w:r>
      <w:r w:rsidR="007C4B76">
        <w:rPr>
          <w:rFonts w:ascii="Times New Roman" w:eastAsia="Times New Roman" w:hAnsi="Times New Roman"/>
          <w:color w:val="000000" w:themeColor="text1"/>
          <w:sz w:val="24"/>
          <w:szCs w:val="24"/>
        </w:rPr>
        <w:t>осем</w:t>
      </w:r>
      <w:r w:rsidR="00933790">
        <w:rPr>
          <w:rFonts w:ascii="Times New Roman" w:eastAsia="Times New Roman" w:hAnsi="Times New Roman"/>
          <w:color w:val="000000" w:themeColor="text1"/>
          <w:sz w:val="24"/>
          <w:szCs w:val="24"/>
        </w:rPr>
        <w:t>те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учебни срока, които </w:t>
      </w:r>
      <w:r w:rsidR="007E18CD">
        <w:rPr>
          <w:rFonts w:ascii="Times New Roman" w:eastAsia="Times New Roman" w:hAnsi="Times New Roman"/>
          <w:color w:val="000000" w:themeColor="text1"/>
          <w:sz w:val="24"/>
          <w:szCs w:val="24"/>
        </w:rPr>
        <w:t>ще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бъдат обхванати от изпълнението на проект</w:t>
      </w:r>
      <w:r w:rsidR="00F93FCF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="0050473D">
        <w:rPr>
          <w:rFonts w:ascii="Times New Roman" w:eastAsia="Times New Roman" w:hAnsi="Times New Roman"/>
          <w:color w:val="000000" w:themeColor="text1"/>
          <w:sz w:val="24"/>
          <w:szCs w:val="24"/>
        </w:rPr>
        <w:t>, а последната част от сума</w:t>
      </w:r>
      <w:r w:rsidR="0040402B">
        <w:rPr>
          <w:rFonts w:ascii="Times New Roman" w:eastAsia="Times New Roman" w:hAnsi="Times New Roman"/>
          <w:color w:val="000000" w:themeColor="text1"/>
          <w:sz w:val="24"/>
          <w:szCs w:val="24"/>
        </w:rPr>
        <w:t>та</w:t>
      </w:r>
      <w:r w:rsidR="0050473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възстановява </w:t>
      </w:r>
      <w:r w:rsidR="00933790">
        <w:rPr>
          <w:rFonts w:ascii="Times New Roman" w:eastAsia="Times New Roman" w:hAnsi="Times New Roman"/>
          <w:color w:val="000000" w:themeColor="text1"/>
          <w:sz w:val="24"/>
          <w:szCs w:val="24"/>
        </w:rPr>
        <w:t>с искането за окончателно плащане.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85D62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>В</w:t>
      </w:r>
      <w:r w:rsidR="00ED628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приложение</w:t>
      </w:r>
      <w:r w:rsidR="00285D62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85D62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</w:t>
      </w:r>
      <w:r w:rsidR="0076495C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-</w:t>
      </w:r>
      <w:r w:rsidR="00285D62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таблица</w:t>
      </w:r>
      <w:r w:rsidR="0076495C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-</w:t>
      </w:r>
      <w:r w:rsidR="004E694F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КМ</w:t>
      </w:r>
      <w:r w:rsidR="00285D62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(Приложение I</w:t>
      </w:r>
      <w:r w:rsidR="006C3617" w:rsidRPr="006C3617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V</w:t>
      </w:r>
      <w:r w:rsidR="00ED628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85D62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>към Условията</w:t>
      </w:r>
      <w:r w:rsidR="00285D62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кандидатстване) се описват етапните цели за всеки отчетен период, като се задават целеви стойности с натрупване на индикаторите и другите количествени показатели за всеки отчетен период. Постигането на зададените от </w:t>
      </w:r>
      <w:r w:rsidR="00437EA0">
        <w:rPr>
          <w:rFonts w:ascii="Times New Roman" w:eastAsia="Times New Roman" w:hAnsi="Times New Roman"/>
          <w:color w:val="000000" w:themeColor="text1"/>
          <w:sz w:val="24"/>
          <w:szCs w:val="24"/>
        </w:rPr>
        <w:t>КБ-МОН</w:t>
      </w:r>
      <w:r w:rsidR="00285D62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целеви стойности е основание за извършване на плащане.</w:t>
      </w:r>
      <w:r w:rsidR="00437EA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>Първият отчетен период обхваща времето до края на първия обхванат учебен срок</w:t>
      </w:r>
      <w:r w:rsidR="00152F9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т.е. 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>до 01.02.2026 г. Следващите отчетни периоди обхващат следващите учебни срокове (вкл. ваканциите), т.е. вторият отчетен период е до 01.09.2026 г.</w:t>
      </w:r>
      <w:r w:rsidR="00A06778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CC0823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A0677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съответно </w:t>
      </w:r>
      <w:r w:rsidR="00214F12">
        <w:rPr>
          <w:rFonts w:ascii="Times New Roman" w:eastAsia="Times New Roman" w:hAnsi="Times New Roman"/>
          <w:color w:val="000000" w:themeColor="text1"/>
          <w:sz w:val="24"/>
          <w:szCs w:val="24"/>
        </w:rPr>
        <w:t>осмият отчетен период е до 01.09.2029 г., а последният период 01.09.2029-31.12.202</w:t>
      </w:r>
      <w:r w:rsidR="005B503B">
        <w:rPr>
          <w:rFonts w:ascii="Times New Roman" w:eastAsia="Times New Roman" w:hAnsi="Times New Roman"/>
          <w:color w:val="000000" w:themeColor="text1"/>
          <w:sz w:val="24"/>
          <w:szCs w:val="24"/>
        </w:rPr>
        <w:t>9</w:t>
      </w:r>
      <w:r w:rsidR="00214F1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г. се отчита с окончателния отчет.</w:t>
      </w:r>
    </w:p>
    <w:p w14:paraId="232183FA" w14:textId="165FFA82" w:rsidR="005B4AA5" w:rsidRDefault="00CC0823" w:rsidP="00796D6D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Бенефициентът може да подаде отчет и да поиска възстановяване на </w:t>
      </w:r>
      <w:r w:rsidR="006B53EE">
        <w:rPr>
          <w:rFonts w:ascii="Times New Roman" w:eastAsia="Times New Roman" w:hAnsi="Times New Roman"/>
          <w:color w:val="000000" w:themeColor="text1"/>
          <w:sz w:val="24"/>
          <w:szCs w:val="24"/>
        </w:rPr>
        <w:t>средствата</w:t>
      </w: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преди изтичане на индикативния отчетен период, ако е постигнал съответните етапни </w:t>
      </w: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цели. </w:t>
      </w:r>
      <w:r w:rsidR="00F24C0B"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 w:rsid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та</w:t>
      </w:r>
      <w:r w:rsidR="00F24C0B"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която може да се възстанови при изпълнение на заложените етапни цели </w:t>
      </w:r>
      <w:r w:rsidR="00F24C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F24C0B"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 в зависимост от отчетените и верифицирани разходи за възнаграждения</w:t>
      </w:r>
      <w:r w:rsidR="00686E8E">
        <w:rPr>
          <w:rFonts w:ascii="Times New Roman" w:eastAsia="Times New Roman" w:hAnsi="Times New Roman"/>
          <w:color w:val="000000" w:themeColor="text1"/>
          <w:sz w:val="24"/>
          <w:szCs w:val="24"/>
        </w:rPr>
        <w:t>, другите преки и непреки разходи</w:t>
      </w:r>
      <w:r w:rsidR="00F24C0B"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надбавки на участниците в обучения като се прилагат правилата, описани в Условията за възстановяване на разходите.</w:t>
      </w:r>
    </w:p>
    <w:p w14:paraId="763FFBBB" w14:textId="77777777" w:rsidR="002E2861" w:rsidRPr="00C8016C" w:rsidRDefault="002E2861" w:rsidP="005962F0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0067F99" w14:textId="77777777" w:rsidR="00096121" w:rsidRDefault="00096121" w:rsidP="005962F0">
      <w:pPr>
        <w:spacing w:after="120" w:line="276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14:paraId="4459F97C" w14:textId="4BA2CD66" w:rsidR="00096121" w:rsidRPr="009F251A" w:rsidRDefault="00096121" w:rsidP="00096121">
      <w:pPr>
        <w:pStyle w:val="Style1"/>
        <w:ind w:left="357" w:hanging="357"/>
      </w:pPr>
      <w:r>
        <w:t xml:space="preserve">Определяне на </w:t>
      </w:r>
      <w:r w:rsidR="00881A64">
        <w:t>допустимите разходи</w:t>
      </w:r>
      <w:r>
        <w:t xml:space="preserve"> за изпълнение на типовия РП 2</w:t>
      </w:r>
    </w:p>
    <w:p w14:paraId="4AC4D473" w14:textId="77777777" w:rsidR="00096121" w:rsidRPr="009F251A" w:rsidRDefault="00096121" w:rsidP="00096121">
      <w:pPr>
        <w:spacing w:after="0" w:line="360" w:lineRule="auto"/>
        <w:ind w:firstLine="709"/>
        <w:jc w:val="both"/>
        <w:rPr>
          <w:rFonts w:ascii="Times New Roman" w:eastAsia="SimSun" w:hAnsi="Times New Roman"/>
          <w:bCs/>
          <w:color w:val="FF0000"/>
          <w:sz w:val="24"/>
          <w:szCs w:val="24"/>
          <w:lang w:eastAsia="zh-CN"/>
        </w:rPr>
      </w:pPr>
    </w:p>
    <w:p w14:paraId="7FD834FD" w14:textId="27A27D3F" w:rsidR="00EB5B7B" w:rsidRPr="00EB5B7B" w:rsidRDefault="00CB0A67" w:rsidP="00EB5B7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Съгласно </w:t>
      </w:r>
      <w:r w:rsidR="003A77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Условията за кандидатстване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т</w:t>
      </w:r>
      <w:r w:rsidR="00EB5B7B" w:rsidRPr="00EB5B7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иповият РП 2 се изпълнява от всяко училище, което е включено в техническото и финансово изпълнение на проекта. Типовите РП 2 могат да се разработват на ниво училище или на ниво група училища, съобразно идентифицираните потребности от Конкретния бенефициент. За да се отразят различията между участващите училища, </w:t>
      </w:r>
      <w:r w:rsidR="00B73E58" w:rsidRPr="00B73E5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КБ-МОН може да обоснове няколко типа годишни МПРКК (например, за първа, втора и трета учебна година), </w:t>
      </w:r>
      <w:r w:rsidR="00EB5B7B" w:rsidRPr="00EB5B7B">
        <w:rPr>
          <w:rFonts w:ascii="Times New Roman" w:eastAsia="Times New Roman" w:hAnsi="Times New Roman"/>
          <w:color w:val="000000" w:themeColor="text1"/>
          <w:sz w:val="24"/>
          <w:szCs w:val="24"/>
        </w:rPr>
        <w:t>които се изпълняват на ниво училище/група училища и включват следния обхват на задължителните конкретни дейности, необходими за изпълнението на типовия РП 2:</w:t>
      </w:r>
    </w:p>
    <w:p w14:paraId="32B30EB3" w14:textId="389EDD2B" w:rsidR="006A2FAD" w:rsidRDefault="00EB5B7B" w:rsidP="00BA3222">
      <w:pPr>
        <w:pStyle w:val="ListParagraph"/>
        <w:numPr>
          <w:ilvl w:val="0"/>
          <w:numId w:val="19"/>
        </w:numPr>
        <w:spacing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D3735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Определяне на екип за развитие на ключови компетентности (ПУО</w:t>
      </w:r>
      <w:r w:rsidR="00AD6B8F" w:rsidRPr="00AD373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професионални учещи общности</w:t>
      </w:r>
      <w:r w:rsidRPr="00AD3735">
        <w:rPr>
          <w:rFonts w:ascii="Times New Roman" w:eastAsia="Times New Roman" w:hAnsi="Times New Roman"/>
          <w:color w:val="000000" w:themeColor="text1"/>
          <w:sz w:val="24"/>
          <w:szCs w:val="24"/>
        </w:rPr>
        <w:t>) от индикативно 4 ПС от всяко проектно училище</w:t>
      </w:r>
      <w:r w:rsidR="002C2D8B" w:rsidRPr="002C2D8B">
        <w:rPr>
          <w:rFonts w:ascii="Times New Roman" w:eastAsiaTheme="minorHAnsi" w:hAnsi="Times New Roman"/>
          <w:sz w:val="24"/>
          <w:szCs w:val="24"/>
        </w:rPr>
        <w:t xml:space="preserve"> </w:t>
      </w:r>
      <w:r w:rsidR="002C2D8B" w:rsidRPr="002C2D8B">
        <w:rPr>
          <w:rFonts w:ascii="Times New Roman" w:eastAsia="Times New Roman" w:hAnsi="Times New Roman"/>
          <w:color w:val="000000" w:themeColor="text1"/>
          <w:sz w:val="24"/>
          <w:szCs w:val="24"/>
        </w:rPr>
        <w:t>през първите две учебни години от изпълнението на  дейността и от индикативно 2 ПС от всяко училище за третата учебна година</w:t>
      </w:r>
      <w:r w:rsidRPr="00AD3735">
        <w:rPr>
          <w:rFonts w:ascii="Times New Roman" w:eastAsia="Times New Roman" w:hAnsi="Times New Roman"/>
          <w:color w:val="000000" w:themeColor="text1"/>
          <w:sz w:val="24"/>
          <w:szCs w:val="24"/>
        </w:rPr>
        <w:t>; екипът създава МПРКК и изпълнява дейностите, заложени в него</w:t>
      </w:r>
      <w:r w:rsidR="002E2ECD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55B6D21F" w14:textId="2AFC1CCF" w:rsidR="003A7722" w:rsidRPr="00BA3222" w:rsidRDefault="00EB5B7B" w:rsidP="00BA3222">
      <w:pPr>
        <w:pStyle w:val="ListParagraph"/>
        <w:numPr>
          <w:ilvl w:val="0"/>
          <w:numId w:val="19"/>
        </w:numPr>
        <w:spacing w:after="0" w:line="360" w:lineRule="auto"/>
        <w:ind w:left="1066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A2FAD">
        <w:rPr>
          <w:rFonts w:ascii="Times New Roman" w:eastAsia="Times New Roman" w:hAnsi="Times New Roman"/>
          <w:color w:val="000000" w:themeColor="text1"/>
          <w:sz w:val="24"/>
          <w:szCs w:val="24"/>
        </w:rPr>
        <w:t>Предоставяне на менторска подкрепа за всяко училище</w:t>
      </w:r>
      <w:r w:rsidR="00352EF4" w:rsidRPr="006A2FAD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433841E1" w14:textId="5EB0EE72" w:rsidR="00096121" w:rsidRDefault="00096121" w:rsidP="005962F0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 съответствие с</w:t>
      </w:r>
      <w:r w:rsidR="00B6179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F7D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посочените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минимални изисквания, се изчисляват допустимите разходи за възнаграждения на наетите експерти</w:t>
      </w:r>
      <w:r w:rsidR="0003540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като се </w:t>
      </w:r>
      <w:r w:rsidR="0083025C">
        <w:rPr>
          <w:rFonts w:ascii="Times New Roman" w:eastAsia="Times New Roman" w:hAnsi="Times New Roman"/>
          <w:color w:val="000000" w:themeColor="text1"/>
          <w:sz w:val="24"/>
          <w:szCs w:val="24"/>
        </w:rPr>
        <w:t>взема предвид, че средният брой на учебните седмици е 34</w:t>
      </w:r>
      <w:r w:rsidR="00933D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се п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рилага</w:t>
      </w:r>
      <w:r w:rsidR="001D0D33">
        <w:rPr>
          <w:rFonts w:ascii="Times New Roman" w:eastAsia="Times New Roman" w:hAnsi="Times New Roman"/>
          <w:color w:val="000000" w:themeColor="text1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4157C">
        <w:rPr>
          <w:rFonts w:ascii="Times New Roman" w:eastAsia="Times New Roman" w:hAnsi="Times New Roman"/>
          <w:color w:val="000000" w:themeColor="text1"/>
          <w:sz w:val="24"/>
          <w:szCs w:val="24"/>
        </w:rPr>
        <w:t>единичните разходи, обосновани в раздел 2: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D0D33" w:rsidRPr="004D61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единичен разход 3.27</w:t>
      </w:r>
      <w:r w:rsidR="001D0D3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за </w:t>
      </w:r>
      <w:r w:rsidR="00A374BD">
        <w:rPr>
          <w:rFonts w:ascii="Times New Roman" w:eastAsia="Times New Roman" w:hAnsi="Times New Roman"/>
          <w:color w:val="000000" w:themeColor="text1"/>
          <w:sz w:val="24"/>
          <w:szCs w:val="24"/>
        </w:rPr>
        <w:t>ПС</w:t>
      </w:r>
      <w:r w:rsidR="001D0D3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</w:t>
      </w:r>
      <w:r w:rsidR="001D0D33" w:rsidRPr="004D61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единичен разход 3.28</w:t>
      </w:r>
      <w:r w:rsidR="001D0D3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за менторите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4D99402A" w14:textId="1CE699B5" w:rsidR="002B7999" w:rsidRDefault="002B7999" w:rsidP="00BA3222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B799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Актуализирането на размера на единичните разходи за възнаграждения се извършва въз основа на индекса на разходите за труд в област „Образование“, публикуван от Евростат. За последните 2 години - 2023 и 2024, годишният индекс за България е над 15 %, а съгласно Анекс № Д01-30/31.03.2025 г. към Колективния трудов договор за системата на предучилищното и училищното образование, заплатите на педагогическите специалисти се увеличават средно с 15 %, считано от 01.03.2025 г. </w:t>
      </w:r>
      <w:r w:rsidRPr="002B7999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Затова УО залага </w:t>
      </w:r>
      <w:r w:rsidR="00F05E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предварителна </w:t>
      </w:r>
      <w:r w:rsidRPr="002B7999">
        <w:rPr>
          <w:rFonts w:ascii="Times New Roman" w:eastAsia="Times New Roman" w:hAnsi="Times New Roman"/>
          <w:color w:val="000000" w:themeColor="text1"/>
          <w:sz w:val="24"/>
          <w:szCs w:val="24"/>
        </w:rPr>
        <w:t>индексация от 15 % за единичните разходи за възнаграждения, които ще започнат да се прилагат през учебната 2026-2027 г.</w:t>
      </w:r>
      <w:r w:rsidRPr="002B799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</w:p>
    <w:p w14:paraId="6657E487" w14:textId="1666BBCB" w:rsidR="004F1914" w:rsidRDefault="004F1914" w:rsidP="004F1914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определянето на допустимите разходи за </w:t>
      </w:r>
      <w:r w:rsidR="002C727C">
        <w:rPr>
          <w:rFonts w:ascii="Times New Roman" w:eastAsia="Times New Roman" w:hAnsi="Times New Roman"/>
          <w:color w:val="000000" w:themeColor="text1"/>
          <w:sz w:val="24"/>
          <w:szCs w:val="24"/>
        </w:rPr>
        <w:t>изпълнение на типовия РП 2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 етап кандидатстване конкретният бенефициент изпълнява последователно следните стъпки</w:t>
      </w:r>
      <w:r w:rsidR="00A7419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като попълва </w:t>
      </w:r>
      <w:r w:rsidR="00A7419B" w:rsidRPr="005C02BD">
        <w:rPr>
          <w:rFonts w:ascii="Times New Roman" w:eastAsia="Times New Roman" w:hAnsi="Times New Roman"/>
          <w:color w:val="000000" w:themeColor="text1"/>
          <w:sz w:val="24"/>
          <w:szCs w:val="24"/>
        </w:rPr>
        <w:t>приложение</w:t>
      </w:r>
      <w:r w:rsidR="00A7419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A7419B" w:rsidRPr="005C02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Помощна-таблица-КМ.xls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0971E421" w14:textId="3B1FBBEA" w:rsidR="00C17537" w:rsidRDefault="00C17537" w:rsidP="00494B85">
      <w:pPr>
        <w:pStyle w:val="ListParagraph"/>
        <w:numPr>
          <w:ilvl w:val="0"/>
          <w:numId w:val="22"/>
        </w:numPr>
        <w:spacing w:after="6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Определя типов МПРКК, който се изпълнява на ниво училище/група училища за всяка от трите учебни години, в която ще се изпълнява РП 2. </w:t>
      </w:r>
    </w:p>
    <w:p w14:paraId="04039BFB" w14:textId="1FDE1823" w:rsidR="00070363" w:rsidRDefault="008B01CF" w:rsidP="00494B85">
      <w:pPr>
        <w:pStyle w:val="ListParagraph"/>
        <w:numPr>
          <w:ilvl w:val="0"/>
          <w:numId w:val="22"/>
        </w:numPr>
        <w:spacing w:after="6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 всеки годишен МПРКК се и</w:t>
      </w:r>
      <w:r w:rsidR="004F1914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зчислява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т</w:t>
      </w:r>
      <w:r w:rsidR="004F1914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допустимите разходи за възнаграждения като </w:t>
      </w:r>
      <w:r w:rsidR="00EE6E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D946A8">
        <w:rPr>
          <w:rFonts w:ascii="Times New Roman" w:eastAsia="Times New Roman" w:hAnsi="Times New Roman"/>
          <w:color w:val="000000" w:themeColor="text1"/>
          <w:sz w:val="24"/>
          <w:szCs w:val="24"/>
        </w:rPr>
        <w:t>обосновава</w:t>
      </w:r>
      <w:r w:rsidR="004F1914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E6E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среден </w:t>
      </w:r>
      <w:r w:rsidR="004F1914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брой </w:t>
      </w:r>
      <w:r w:rsidR="00EE6E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отработени часове </w:t>
      </w:r>
      <w:r w:rsidR="00633D64">
        <w:rPr>
          <w:rFonts w:ascii="Times New Roman" w:eastAsia="Times New Roman" w:hAnsi="Times New Roman"/>
          <w:color w:val="000000" w:themeColor="text1"/>
          <w:sz w:val="24"/>
          <w:szCs w:val="24"/>
        </w:rPr>
        <w:t>на наетите експерти –</w:t>
      </w:r>
      <w:r w:rsidR="0011177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прилагат се</w:t>
      </w:r>
      <w:r w:rsidR="00633D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633D64" w:rsidRPr="004D61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единичен разход 3.27</w:t>
      </w:r>
      <w:r w:rsidR="00633D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за ПС и </w:t>
      </w:r>
      <w:r w:rsidR="00633D64" w:rsidRPr="004D61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единичен разход 3.28</w:t>
      </w:r>
      <w:r w:rsidR="00633D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за менторите</w:t>
      </w:r>
      <w:r w:rsidR="002A6D9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</w:t>
      </w:r>
      <w:r w:rsidR="003524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приложимите единични разходи за възнаграждения е </w:t>
      </w:r>
      <w:r w:rsidR="002A6D9A">
        <w:rPr>
          <w:rFonts w:ascii="Times New Roman" w:eastAsia="Times New Roman" w:hAnsi="Times New Roman"/>
          <w:color w:val="000000" w:themeColor="text1"/>
          <w:sz w:val="24"/>
          <w:szCs w:val="24"/>
        </w:rPr>
        <w:t>извършена предварителна индексация от 15 %)</w:t>
      </w:r>
      <w:r w:rsidR="00633D64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04D17CA6" w14:textId="7329640A" w:rsidR="00111776" w:rsidRDefault="00111776" w:rsidP="00494B85">
      <w:pPr>
        <w:pStyle w:val="ListParagraph"/>
        <w:numPr>
          <w:ilvl w:val="0"/>
          <w:numId w:val="22"/>
        </w:numPr>
        <w:spacing w:after="6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След това се определят другите преки и непреки разходи – </w:t>
      </w:r>
      <w:r w:rsidR="00701B1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</w:t>
      </w:r>
      <w:r w:rsidR="003B44E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прилага </w:t>
      </w:r>
      <w:r w:rsidR="00701B1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единна ставка 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40 % </w:t>
      </w:r>
      <w:r w:rsidR="003B44E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върху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преките разходи за персонал съгласно чл. 56 от 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741DF04E" w14:textId="36C4667A" w:rsidR="00701B11" w:rsidRDefault="00701B11" w:rsidP="00494B85">
      <w:pPr>
        <w:pStyle w:val="ListParagraph"/>
        <w:numPr>
          <w:ilvl w:val="0"/>
          <w:numId w:val="22"/>
        </w:numPr>
        <w:spacing w:after="6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Преките разходи за персонал се сумират с другите преки и непреки разходи и така се определя </w:t>
      </w:r>
      <w:r w:rsidR="0032661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индикативна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обща сума на разходите, която е обоснована </w:t>
      </w:r>
      <w:r w:rsidR="005A562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необходима за изпълнението на съответния </w:t>
      </w:r>
      <w:r w:rsidR="0032661B">
        <w:rPr>
          <w:rFonts w:ascii="Times New Roman" w:eastAsia="Times New Roman" w:hAnsi="Times New Roman"/>
          <w:color w:val="000000" w:themeColor="text1"/>
          <w:sz w:val="24"/>
          <w:szCs w:val="24"/>
        </w:rPr>
        <w:t>годишен МПРКК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4C779594" w14:textId="44352D00" w:rsidR="00B67F15" w:rsidRDefault="00B67F15" w:rsidP="00494B85">
      <w:pPr>
        <w:pStyle w:val="ListParagraph"/>
        <w:numPr>
          <w:ilvl w:val="0"/>
          <w:numId w:val="22"/>
        </w:numPr>
        <w:spacing w:after="6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Задава се </w:t>
      </w:r>
      <w:r w:rsidR="00147C8D">
        <w:rPr>
          <w:rFonts w:ascii="Times New Roman" w:eastAsia="Times New Roman" w:hAnsi="Times New Roman"/>
          <w:color w:val="000000" w:themeColor="text1"/>
          <w:sz w:val="24"/>
          <w:szCs w:val="24"/>
        </w:rPr>
        <w:t>индикативен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брой на училищните МПРКК от съответния тип и така се изчислява сумата, необходима за изпълнението на </w:t>
      </w:r>
      <w:r w:rsidR="00414CD0">
        <w:rPr>
          <w:rFonts w:ascii="Times New Roman" w:eastAsia="Times New Roman" w:hAnsi="Times New Roman"/>
          <w:color w:val="000000" w:themeColor="text1"/>
          <w:sz w:val="24"/>
          <w:szCs w:val="24"/>
        </w:rPr>
        <w:t>тези годишни МПРКК.</w:t>
      </w:r>
    </w:p>
    <w:p w14:paraId="37B9E37F" w14:textId="63A5245B" w:rsidR="002B4F65" w:rsidRDefault="002B4F65" w:rsidP="00BA3222">
      <w:pPr>
        <w:pStyle w:val="ListParagraph"/>
        <w:numPr>
          <w:ilvl w:val="0"/>
          <w:numId w:val="22"/>
        </w:numPr>
        <w:spacing w:after="60" w:line="360" w:lineRule="auto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Процедурата се повтаря за трите учебни години, в които ще се изпълнява типовият РП 2</w:t>
      </w:r>
      <w:r w:rsidR="00AA4E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така се </w:t>
      </w:r>
      <w:r w:rsidR="006E0802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определят</w:t>
      </w:r>
      <w:r w:rsidR="00AA4E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664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необходимите разходи </w:t>
      </w:r>
      <w:r w:rsidR="00AA4E62">
        <w:rPr>
          <w:rFonts w:ascii="Times New Roman" w:eastAsia="Times New Roman" w:hAnsi="Times New Roman"/>
          <w:color w:val="000000" w:themeColor="text1"/>
          <w:sz w:val="24"/>
          <w:szCs w:val="24"/>
        </w:rPr>
        <w:t>за изпълнение на типовия РП 2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772E5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72E5E" w:rsidRPr="00772E5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След одобрение от оценителната комисия сумата от разходите за планираните </w:t>
      </w:r>
      <w:r w:rsidR="006E080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училищни </w:t>
      </w:r>
      <w:r w:rsidR="00851F5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годишни </w:t>
      </w:r>
      <w:r w:rsidR="006E0802">
        <w:rPr>
          <w:rFonts w:ascii="Times New Roman" w:eastAsia="Times New Roman" w:hAnsi="Times New Roman"/>
          <w:color w:val="000000" w:themeColor="text1"/>
          <w:sz w:val="24"/>
          <w:szCs w:val="24"/>
        </w:rPr>
        <w:t>МПРКК</w:t>
      </w:r>
      <w:r w:rsidR="00772E5E" w:rsidRPr="00772E5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 въвежда в ИСУН като бюджет за работен пакет </w:t>
      </w:r>
      <w:r w:rsidR="002664D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772E5E" w:rsidRPr="00772E5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C2618E0" w14:textId="2C00EE76" w:rsidR="00AB1280" w:rsidRPr="00F371CC" w:rsidRDefault="00AB1280" w:rsidP="00AB1280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Изчисленията са описани в</w:t>
      </w:r>
      <w:r w:rsidR="00EE7FE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ъв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файл</w:t>
      </w:r>
      <w:r w:rsidR="00851F5E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E7FEB" w:rsidRPr="005C02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Помощна-таблица-КМ.xls</w:t>
      </w:r>
      <w:r w:rsidR="003E71D6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r w:rsidR="003E71D6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където са въведени </w:t>
      </w:r>
      <w:r w:rsidR="00F371CC" w:rsidRPr="00BA3222">
        <w:rPr>
          <w:rFonts w:ascii="Times New Roman" w:eastAsia="Times New Roman" w:hAnsi="Times New Roman"/>
          <w:color w:val="000000" w:themeColor="text1"/>
          <w:sz w:val="24"/>
          <w:szCs w:val="24"/>
        </w:rPr>
        <w:t>5 примерни училищни МПРКК</w:t>
      </w:r>
      <w:r w:rsidR="00F371C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 съответствие с писм</w:t>
      </w:r>
      <w:r w:rsidR="003D4494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="00F371C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D4494" w:rsidRPr="003D4494">
        <w:rPr>
          <w:rFonts w:ascii="Times New Roman" w:eastAsia="Times New Roman" w:hAnsi="Times New Roman"/>
          <w:color w:val="000000" w:themeColor="text1"/>
          <w:sz w:val="24"/>
          <w:szCs w:val="24"/>
        </w:rPr>
        <w:t>от компетентния държавен орган Министерство на образованието и науката № 0701-164/27.03.2025 г. и № 0701-164/07.07.2025 г.</w:t>
      </w:r>
      <w:r w:rsidR="00D0705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 подготовка на проектното предложение кандидатът може да обоснове други типове училищни годишни МПРКК</w:t>
      </w:r>
      <w:r w:rsidR="00AF57F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да изчисли допустимите разходи като прилага </w:t>
      </w:r>
      <w:r w:rsidR="006F197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формулите, описани във файла </w:t>
      </w:r>
      <w:r w:rsidR="006F197A" w:rsidRPr="005C02B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Помощна-таблица-КМ.xls</w:t>
      </w:r>
      <w:r w:rsidR="006F197A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.</w:t>
      </w:r>
    </w:p>
    <w:p w14:paraId="3E5BE313" w14:textId="61537DB3" w:rsidR="0076129A" w:rsidRDefault="00851F5E" w:rsidP="00BA322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Одобрените</w:t>
      </w: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>сум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>и за изпълнението на типови</w:t>
      </w:r>
      <w:r w:rsidR="0042780F">
        <w:rPr>
          <w:rFonts w:ascii="Times New Roman" w:eastAsia="Times New Roman" w:hAnsi="Times New Roman"/>
          <w:color w:val="000000" w:themeColor="text1"/>
          <w:sz w:val="24"/>
          <w:szCs w:val="24"/>
        </w:rPr>
        <w:t>те училищни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РП 2 се възстановяват на </w:t>
      </w:r>
      <w:r w:rsidR="003F331F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междинни 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отчетни периода, съответстващи на </w:t>
      </w:r>
      <w:r w:rsidR="003F331F">
        <w:rPr>
          <w:rFonts w:ascii="Times New Roman" w:eastAsia="Times New Roman" w:hAnsi="Times New Roman"/>
          <w:color w:val="000000" w:themeColor="text1"/>
          <w:sz w:val="24"/>
          <w:szCs w:val="24"/>
        </w:rPr>
        <w:t>двата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учебни срока, които 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>ще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бъдат обхванати от изпълнението на </w:t>
      </w:r>
      <w:r w:rsidR="003F331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съответния </w:t>
      </w:r>
      <w:r w:rsidR="00A20F77">
        <w:rPr>
          <w:rFonts w:ascii="Times New Roman" w:eastAsia="Times New Roman" w:hAnsi="Times New Roman"/>
          <w:color w:val="000000" w:themeColor="text1"/>
          <w:sz w:val="24"/>
          <w:szCs w:val="24"/>
        </w:rPr>
        <w:t>типов РП 2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6129A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>В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приложение</w:t>
      </w:r>
      <w:r w:rsidR="0076129A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6129A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</w:t>
      </w:r>
      <w:r w:rsidR="0076129A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-</w:t>
      </w:r>
      <w:r w:rsidR="0076129A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таблица</w:t>
      </w:r>
      <w:r w:rsidR="0076129A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-</w:t>
      </w:r>
      <w:r w:rsidR="0076129A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КМ</w:t>
      </w:r>
      <w:r w:rsidR="0076129A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(Приложение I</w:t>
      </w:r>
      <w:r w:rsidR="0076129A" w:rsidRPr="006C3617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V</w:t>
      </w:r>
      <w:r w:rsidR="0076129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6129A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>към Условията</w:t>
      </w:r>
      <w:r w:rsidR="0076129A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кандидатстване) се описват </w:t>
      </w:r>
      <w:r w:rsidR="00D65927">
        <w:rPr>
          <w:rFonts w:ascii="Times New Roman" w:eastAsia="Times New Roman" w:hAnsi="Times New Roman"/>
          <w:color w:val="000000" w:themeColor="text1"/>
          <w:sz w:val="24"/>
          <w:szCs w:val="24"/>
        </w:rPr>
        <w:t>крайните продукти</w:t>
      </w:r>
      <w:r w:rsidR="0032238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D659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2238D">
        <w:rPr>
          <w:rFonts w:ascii="Times New Roman" w:eastAsia="Times New Roman" w:hAnsi="Times New Roman"/>
          <w:color w:val="000000" w:themeColor="text1"/>
          <w:sz w:val="24"/>
          <w:szCs w:val="24"/>
        </w:rPr>
        <w:t>които трябва да бъдат постигнати при изпълнението на всеки тип училищен МПРКК</w:t>
      </w:r>
      <w:r w:rsidR="0076129A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012A5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Зададените стойности са на ниво </w:t>
      </w:r>
      <w:r w:rsidR="007B6120">
        <w:rPr>
          <w:rFonts w:ascii="Times New Roman" w:eastAsia="Times New Roman" w:hAnsi="Times New Roman"/>
          <w:color w:val="000000" w:themeColor="text1"/>
          <w:sz w:val="24"/>
          <w:szCs w:val="24"/>
        </w:rPr>
        <w:t>група училища</w:t>
      </w:r>
      <w:r w:rsidR="00012A56">
        <w:rPr>
          <w:rFonts w:ascii="Times New Roman" w:eastAsia="Times New Roman" w:hAnsi="Times New Roman"/>
          <w:color w:val="000000" w:themeColor="text1"/>
          <w:sz w:val="24"/>
          <w:szCs w:val="24"/>
        </w:rPr>
        <w:t>, т.е. отнасят се за всички училища, които изпълняват съответния типов РП 2</w:t>
      </w:r>
      <w:r w:rsidR="00A5044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3E618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 </w:t>
      </w:r>
      <w:r w:rsidR="00A5044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конкретните стойности на ниво училище се определят в </w:t>
      </w:r>
      <w:r w:rsidR="005C528A">
        <w:rPr>
          <w:rFonts w:ascii="Times New Roman" w:eastAsia="Times New Roman" w:hAnsi="Times New Roman"/>
          <w:color w:val="000000" w:themeColor="text1"/>
          <w:sz w:val="24"/>
          <w:szCs w:val="24"/>
        </w:rPr>
        <w:t>разработения и изпълняван</w:t>
      </w:r>
      <w:r w:rsidR="008C0A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МПР</w:t>
      </w:r>
      <w:r w:rsidR="005C528A">
        <w:rPr>
          <w:rFonts w:ascii="Times New Roman" w:eastAsia="Times New Roman" w:hAnsi="Times New Roman"/>
          <w:color w:val="000000" w:themeColor="text1"/>
          <w:sz w:val="24"/>
          <w:szCs w:val="24"/>
        </w:rPr>
        <w:t>К</w:t>
      </w:r>
      <w:r w:rsidR="008C0AD7">
        <w:rPr>
          <w:rFonts w:ascii="Times New Roman" w:eastAsia="Times New Roman" w:hAnsi="Times New Roman"/>
          <w:color w:val="000000" w:themeColor="text1"/>
          <w:sz w:val="24"/>
          <w:szCs w:val="24"/>
        </w:rPr>
        <w:t>К</w:t>
      </w:r>
      <w:r w:rsidR="000E0DF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в който задължително се задават </w:t>
      </w:r>
      <w:r w:rsidR="00BF7394">
        <w:rPr>
          <w:rFonts w:ascii="Times New Roman" w:eastAsia="Times New Roman" w:hAnsi="Times New Roman"/>
          <w:color w:val="000000" w:themeColor="text1"/>
          <w:sz w:val="24"/>
          <w:szCs w:val="24"/>
        </w:rPr>
        <w:t>стойности за първия отчетен период</w:t>
      </w:r>
      <w:r w:rsidR="008C0AD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012A56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Първият отчетен период обхваща времето до </w:t>
      </w:r>
      <w:r w:rsidR="00FC1FA0">
        <w:rPr>
          <w:rFonts w:ascii="Times New Roman" w:eastAsia="Times New Roman" w:hAnsi="Times New Roman"/>
          <w:color w:val="000000" w:themeColor="text1"/>
          <w:sz w:val="24"/>
          <w:szCs w:val="24"/>
        </w:rPr>
        <w:t>1 февруари, а</w:t>
      </w:r>
      <w:r w:rsidR="0076129A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вторият отчетен период е до </w:t>
      </w:r>
      <w:r w:rsidR="00FC1FA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 септември на съответната календарна година. </w:t>
      </w:r>
      <w:r w:rsidR="009F0F6D">
        <w:rPr>
          <w:rFonts w:ascii="Times New Roman" w:eastAsia="Times New Roman" w:hAnsi="Times New Roman"/>
          <w:color w:val="000000" w:themeColor="text1"/>
          <w:sz w:val="24"/>
          <w:szCs w:val="24"/>
        </w:rPr>
        <w:t>П</w:t>
      </w:r>
      <w:r w:rsidR="009F0F6D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ланираните дейности </w:t>
      </w:r>
      <w:r w:rsidR="009F0F6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следва да са </w:t>
      </w:r>
      <w:r w:rsidR="009F0F6D"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>разпределени сравнително равномерно</w:t>
      </w:r>
      <w:r w:rsidR="009F0F6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между двата учебни срока. </w:t>
      </w:r>
      <w:r w:rsidR="00224F51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Постигането на зададените от </w:t>
      </w:r>
      <w:r w:rsidR="00224F51">
        <w:rPr>
          <w:rFonts w:ascii="Times New Roman" w:eastAsia="Times New Roman" w:hAnsi="Times New Roman"/>
          <w:color w:val="000000" w:themeColor="text1"/>
          <w:sz w:val="24"/>
          <w:szCs w:val="24"/>
        </w:rPr>
        <w:t>КБ-МОН</w:t>
      </w:r>
      <w:r w:rsidR="00224F51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24F51">
        <w:rPr>
          <w:rFonts w:ascii="Times New Roman" w:eastAsia="Times New Roman" w:hAnsi="Times New Roman"/>
          <w:color w:val="000000" w:themeColor="text1"/>
          <w:sz w:val="24"/>
          <w:szCs w:val="24"/>
        </w:rPr>
        <w:t>и училища</w:t>
      </w:r>
      <w:r w:rsidR="0000182F">
        <w:rPr>
          <w:rFonts w:ascii="Times New Roman" w:eastAsia="Times New Roman" w:hAnsi="Times New Roman"/>
          <w:color w:val="000000" w:themeColor="text1"/>
          <w:sz w:val="24"/>
          <w:szCs w:val="24"/>
        </w:rPr>
        <w:t>та, участващи в проекта,</w:t>
      </w:r>
      <w:r w:rsidR="00224F5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24F51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>целеви стойности е основание за извършване на плащане.</w:t>
      </w:r>
    </w:p>
    <w:p w14:paraId="6623167C" w14:textId="2E082400" w:rsidR="0076129A" w:rsidRDefault="0076129A" w:rsidP="0076129A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Бенефициентът </w:t>
      </w:r>
      <w:r w:rsidR="005C30CB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BB0C7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училището, което изпълнява съответния МПРКК) </w:t>
      </w: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може да подаде отчет и да поиска възстановяване на </w:t>
      </w:r>
      <w:r w:rsidR="008A530B">
        <w:rPr>
          <w:rFonts w:ascii="Times New Roman" w:eastAsia="Times New Roman" w:hAnsi="Times New Roman"/>
          <w:color w:val="000000" w:themeColor="text1"/>
          <w:sz w:val="24"/>
          <w:szCs w:val="24"/>
        </w:rPr>
        <w:t>разходи</w:t>
      </w:r>
      <w:r w:rsidRPr="00CC082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преди изтичане на индикативния отчетен период, ако е постигнал съответните етапни цели. </w:t>
      </w:r>
    </w:p>
    <w:p w14:paraId="30418A17" w14:textId="34F56FC4" w:rsidR="00FC3E39" w:rsidRDefault="00FC3E39" w:rsidP="00FC3E39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та</w:t>
      </w: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която може да се възстанови при изпълнение на заложените етапни цели </w:t>
      </w:r>
      <w:r w:rsidR="002C7113">
        <w:rPr>
          <w:rFonts w:ascii="Times New Roman" w:eastAsia="Times New Roman" w:hAnsi="Times New Roman"/>
          <w:color w:val="000000" w:themeColor="text1"/>
          <w:sz w:val="24"/>
          <w:szCs w:val="24"/>
        </w:rPr>
        <w:t>с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>е изчисл</w:t>
      </w:r>
      <w:r w:rsidR="002C7113">
        <w:rPr>
          <w:rFonts w:ascii="Times New Roman" w:eastAsia="Times New Roman" w:hAnsi="Times New Roman"/>
          <w:color w:val="000000" w:themeColor="text1"/>
          <w:sz w:val="24"/>
          <w:szCs w:val="24"/>
        </w:rPr>
        <w:t>ява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като се използват актуалните размери на единичн</w:t>
      </w:r>
      <w:r w:rsidR="002C7113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разход</w:t>
      </w:r>
      <w:r w:rsidR="002C7113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3.2</w:t>
      </w:r>
      <w:r w:rsidR="002C7113">
        <w:rPr>
          <w:rFonts w:ascii="Times New Roman" w:eastAsia="Times New Roman" w:hAnsi="Times New Roman"/>
          <w:color w:val="000000" w:themeColor="text1"/>
          <w:sz w:val="24"/>
          <w:szCs w:val="24"/>
        </w:rPr>
        <w:t>7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C7113">
        <w:rPr>
          <w:rFonts w:ascii="Times New Roman" w:eastAsia="Times New Roman" w:hAnsi="Times New Roman"/>
          <w:color w:val="000000" w:themeColor="text1"/>
          <w:sz w:val="24"/>
          <w:szCs w:val="24"/>
        </w:rPr>
        <w:t>и 3.28</w:t>
      </w:r>
      <w:r w:rsidR="00975EB6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01397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прилагат </w:t>
      </w:r>
      <w:r w:rsidR="00975E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формулите, посочени във файла </w:t>
      </w:r>
      <w:r w:rsidR="00947412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Помощна-таблица-КМ.xls</w:t>
      </w:r>
      <w:r w:rsidR="00947412" w:rsidRPr="0094741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00985" w:rsidRPr="00700985">
        <w:rPr>
          <w:rFonts w:ascii="Times New Roman" w:eastAsia="Times New Roman" w:hAnsi="Times New Roman"/>
          <w:color w:val="000000" w:themeColor="text1"/>
          <w:sz w:val="24"/>
          <w:szCs w:val="24"/>
        </w:rPr>
        <w:t>(изключва се предварителната индексация от 15 %, приложена през 2025 г.)</w:t>
      </w:r>
      <w:r w:rsidR="00975EB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се спазват </w:t>
      </w: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правилата, описани в Условията за възстановяване на разходите.</w:t>
      </w:r>
    </w:p>
    <w:p w14:paraId="1084B016" w14:textId="6ECCE75F" w:rsidR="009A44E8" w:rsidRPr="009F251A" w:rsidRDefault="00413AE4" w:rsidP="009A44E8">
      <w:pPr>
        <w:pStyle w:val="Style1"/>
        <w:ind w:left="357" w:hanging="357"/>
      </w:pPr>
      <w:r>
        <w:t>Прилагане</w:t>
      </w:r>
      <w:r w:rsidR="009A44E8">
        <w:t xml:space="preserve"> на</w:t>
      </w:r>
      <w:r w:rsidR="00234FB7">
        <w:t xml:space="preserve"> единични разходи</w:t>
      </w:r>
      <w:r w:rsidR="009A44E8">
        <w:t xml:space="preserve"> </w:t>
      </w:r>
      <w:r>
        <w:t>при</w:t>
      </w:r>
      <w:r w:rsidR="009A44E8">
        <w:t xml:space="preserve"> изпълнение</w:t>
      </w:r>
      <w:r>
        <w:t>то</w:t>
      </w:r>
      <w:r w:rsidR="009A44E8">
        <w:t xml:space="preserve"> на РП </w:t>
      </w:r>
      <w:r w:rsidR="00234FB7">
        <w:t xml:space="preserve">3 – РП </w:t>
      </w:r>
      <w:r w:rsidR="00303198">
        <w:t>6</w:t>
      </w:r>
    </w:p>
    <w:p w14:paraId="4D63FB15" w14:textId="77777777" w:rsidR="009A44E8" w:rsidRPr="009F251A" w:rsidRDefault="009A44E8" w:rsidP="009A44E8">
      <w:pPr>
        <w:spacing w:after="0" w:line="360" w:lineRule="auto"/>
        <w:ind w:firstLine="709"/>
        <w:jc w:val="both"/>
        <w:rPr>
          <w:rFonts w:ascii="Times New Roman" w:eastAsia="SimSun" w:hAnsi="Times New Roman"/>
          <w:bCs/>
          <w:color w:val="FF0000"/>
          <w:sz w:val="24"/>
          <w:szCs w:val="24"/>
          <w:lang w:eastAsia="zh-CN"/>
        </w:rPr>
      </w:pPr>
    </w:p>
    <w:p w14:paraId="0FA42C39" w14:textId="44AA71A8" w:rsidR="009A44E8" w:rsidRPr="00EB5B7B" w:rsidRDefault="009A44E8" w:rsidP="009A44E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Съгласно Условията за кандидатстване </w:t>
      </w:r>
      <w:r w:rsidR="00A11357">
        <w:rPr>
          <w:rFonts w:ascii="Times New Roman" w:eastAsia="Times New Roman" w:hAnsi="Times New Roman"/>
          <w:color w:val="000000" w:themeColor="text1"/>
          <w:sz w:val="24"/>
          <w:szCs w:val="24"/>
        </w:rPr>
        <w:t>изпълнението на</w:t>
      </w:r>
      <w:r w:rsidRPr="00EB5B7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РП </w:t>
      </w:r>
      <w:r w:rsidR="00A113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 – РП 5 </w:t>
      </w:r>
      <w:r w:rsidR="0039610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 свързано със създаването на </w:t>
      </w:r>
      <w:r w:rsidR="0032331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множество интелектуални продукти, които са посочени в УК. </w:t>
      </w:r>
      <w:r w:rsidR="0030017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попълването на </w:t>
      </w:r>
      <w:r w:rsidRPr="00EB5B7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00175">
        <w:rPr>
          <w:rFonts w:ascii="Times New Roman" w:eastAsia="Times New Roman" w:hAnsi="Times New Roman"/>
          <w:color w:val="000000" w:themeColor="text1"/>
          <w:sz w:val="24"/>
          <w:szCs w:val="24"/>
        </w:rPr>
        <w:t>приложение</w:t>
      </w:r>
      <w:r w:rsidR="00300175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00175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Помощна</w:t>
      </w:r>
      <w:r w:rsidR="00300175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-</w:t>
      </w:r>
      <w:r w:rsidR="00300175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таблица</w:t>
      </w:r>
      <w:r w:rsidR="00300175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/>
        </w:rPr>
        <w:t>-</w:t>
      </w:r>
      <w:r w:rsidR="00300175" w:rsidRPr="00BA322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КМ</w:t>
      </w:r>
      <w:r w:rsidR="00300175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(Приложение I</w:t>
      </w:r>
      <w:r w:rsidR="00300175" w:rsidRPr="006C3617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V</w:t>
      </w:r>
      <w:r w:rsidR="0030017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00175" w:rsidRPr="006C3617">
        <w:rPr>
          <w:rFonts w:ascii="Times New Roman" w:eastAsia="Times New Roman" w:hAnsi="Times New Roman"/>
          <w:color w:val="000000" w:themeColor="text1"/>
          <w:sz w:val="24"/>
          <w:szCs w:val="24"/>
        </w:rPr>
        <w:t>към Условията</w:t>
      </w:r>
      <w:r w:rsidR="00300175" w:rsidRPr="00285D6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кандидатстване)</w:t>
      </w:r>
      <w:r w:rsidR="0030017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E2BD6">
        <w:rPr>
          <w:rFonts w:ascii="Times New Roman" w:eastAsia="Times New Roman" w:hAnsi="Times New Roman"/>
          <w:color w:val="000000" w:themeColor="text1"/>
          <w:sz w:val="24"/>
          <w:szCs w:val="24"/>
        </w:rPr>
        <w:t>КБ-МОН обосновава необходимите човешки ресурси за създаването на отделните крайни продукти</w:t>
      </w:r>
      <w:r w:rsidR="001C626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Въз основа на заложения </w:t>
      </w:r>
      <w:r w:rsidR="0065475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брой отработени часове и </w:t>
      </w:r>
      <w:r w:rsidR="000E449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чрез прилагане на </w:t>
      </w:r>
      <w:r w:rsidR="00654753">
        <w:rPr>
          <w:rFonts w:ascii="Times New Roman" w:eastAsia="Times New Roman" w:hAnsi="Times New Roman"/>
          <w:color w:val="000000" w:themeColor="text1"/>
          <w:sz w:val="24"/>
          <w:szCs w:val="24"/>
        </w:rPr>
        <w:t>подхода съгласно</w:t>
      </w:r>
      <w:r w:rsidR="00654753" w:rsidRPr="0065475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65475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чл. 56 от </w:t>
      </w:r>
      <w:r w:rsidR="00654753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Регламент (ЕС) 2021/1060</w:t>
      </w:r>
      <w:r w:rsidR="006A0903">
        <w:rPr>
          <w:rFonts w:ascii="Times New Roman" w:eastAsia="Times New Roman" w:hAnsi="Times New Roman"/>
          <w:color w:val="000000" w:themeColor="text1"/>
          <w:sz w:val="24"/>
          <w:szCs w:val="24"/>
        </w:rPr>
        <w:t>, се изчислява</w:t>
      </w:r>
      <w:r w:rsidR="003B64C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индикативният размер на разходите за създаване на всеки интелектуален прод</w:t>
      </w:r>
      <w:r w:rsidR="00DC3119"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r w:rsidR="003B64C5">
        <w:rPr>
          <w:rFonts w:ascii="Times New Roman" w:eastAsia="Times New Roman" w:hAnsi="Times New Roman"/>
          <w:color w:val="000000" w:themeColor="text1"/>
          <w:sz w:val="24"/>
          <w:szCs w:val="24"/>
        </w:rPr>
        <w:t>кт (група продукти)</w:t>
      </w:r>
      <w:r w:rsidR="00DC311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="0019266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След одобрение от оценителната комисия </w:t>
      </w:r>
      <w:r w:rsidR="003740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сумата от разходите за планираните крайни продукти </w:t>
      </w:r>
      <w:r w:rsidR="00B47597">
        <w:rPr>
          <w:rFonts w:ascii="Times New Roman" w:eastAsia="Times New Roman" w:hAnsi="Times New Roman"/>
          <w:color w:val="000000" w:themeColor="text1"/>
          <w:sz w:val="24"/>
          <w:szCs w:val="24"/>
        </w:rPr>
        <w:t>се въвежда в ИСУН като бюджет за съответния работен пакет.</w:t>
      </w:r>
    </w:p>
    <w:p w14:paraId="205F5E09" w14:textId="6C7018C0" w:rsidR="007D130A" w:rsidRDefault="007E2F8F" w:rsidP="001A6643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При изпълнението на РП 3</w:t>
      </w:r>
      <w:r w:rsidR="00413AE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РП 5</w:t>
      </w:r>
      <w:r w:rsidR="00CB287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всеки отчетен и верифициран краен продукт (група продукти) се </w:t>
      </w:r>
      <w:r w:rsidR="00675B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възстановява </w:t>
      </w:r>
      <w:r w:rsidR="0085719D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 w:rsidR="00675B2A">
        <w:rPr>
          <w:rFonts w:ascii="Times New Roman" w:eastAsia="Times New Roman" w:hAnsi="Times New Roman"/>
          <w:color w:val="000000" w:themeColor="text1"/>
          <w:sz w:val="24"/>
          <w:szCs w:val="24"/>
        </w:rPr>
        <w:t>, ко</w:t>
      </w:r>
      <w:r w:rsidR="0085719D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="00675B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то </w:t>
      </w:r>
      <w:r w:rsidR="00675B2A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изчислява </w:t>
      </w:r>
      <w:r w:rsidR="000B6040">
        <w:rPr>
          <w:rFonts w:ascii="Times New Roman" w:eastAsia="Times New Roman" w:hAnsi="Times New Roman"/>
          <w:color w:val="000000" w:themeColor="text1"/>
          <w:sz w:val="24"/>
          <w:szCs w:val="24"/>
        </w:rPr>
        <w:t>въз основа на</w:t>
      </w:r>
      <w:r w:rsidR="00675B2A"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броя на отработените часове </w:t>
      </w:r>
      <w:r w:rsidR="0000699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от наетите експерти </w:t>
      </w:r>
      <w:r w:rsidR="00CB311B">
        <w:rPr>
          <w:rFonts w:ascii="Times New Roman" w:eastAsia="Times New Roman" w:hAnsi="Times New Roman"/>
          <w:color w:val="000000" w:themeColor="text1"/>
          <w:sz w:val="24"/>
          <w:szCs w:val="24"/>
        </w:rPr>
        <w:t>по следната формула:</w:t>
      </w:r>
    </w:p>
    <w:p w14:paraId="7C102702" w14:textId="23725F15" w:rsidR="007D130A" w:rsidRPr="0010035F" w:rsidRDefault="0085719D" w:rsidP="001A6643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Сума </w:t>
      </w:r>
      <w:r w:rsidR="002155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к</w:t>
      </w:r>
      <w:r w:rsidR="00CB311B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раен продукт </w:t>
      </w:r>
      <w:r w:rsidR="00CB311B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= </w:t>
      </w:r>
      <w:r w:rsidR="005321B6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(</w:t>
      </w:r>
      <w:r w:rsidR="007D130A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Б</w:t>
      </w:r>
      <w:r w:rsidR="00CA6750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рой </w:t>
      </w:r>
      <w:r w:rsidR="002B7254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часове</w:t>
      </w:r>
      <w:r w:rsidR="007D130A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х ЕР </w:t>
      </w:r>
      <w:r w:rsidR="005321B6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3.27 </w:t>
      </w:r>
      <w:r w:rsidR="007D130A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+ Б</w:t>
      </w:r>
      <w:r w:rsidR="002B7254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рой часове</w:t>
      </w:r>
      <w:r w:rsidR="007D130A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321B6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х ЕР 3.28)</w:t>
      </w:r>
      <w:r w:rsidR="00A46C10" w:rsidRPr="0010035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х 1,4</w:t>
      </w:r>
    </w:p>
    <w:p w14:paraId="69B061AA" w14:textId="1271C2E6" w:rsidR="00C85D52" w:rsidRDefault="005221AD" w:rsidP="001A6643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</w:t>
      </w:r>
      <w:r w:rsidR="00EC40BC">
        <w:rPr>
          <w:rFonts w:ascii="Times New Roman" w:eastAsia="Times New Roman" w:hAnsi="Times New Roman"/>
          <w:color w:val="000000" w:themeColor="text1"/>
          <w:sz w:val="24"/>
          <w:szCs w:val="24"/>
        </w:rPr>
        <w:t>ри изпълн</w:t>
      </w:r>
      <w:r w:rsidR="00F6433F">
        <w:rPr>
          <w:rFonts w:ascii="Times New Roman" w:eastAsia="Times New Roman" w:hAnsi="Times New Roman"/>
          <w:color w:val="000000" w:themeColor="text1"/>
          <w:sz w:val="24"/>
          <w:szCs w:val="24"/>
        </w:rPr>
        <w:t>ението на РП 3 – РП 5</w:t>
      </w:r>
      <w:r w:rsidR="00DC6FA0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F6433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C6FA0">
        <w:rPr>
          <w:rFonts w:ascii="Times New Roman" w:eastAsia="Times New Roman" w:hAnsi="Times New Roman"/>
          <w:color w:val="000000" w:themeColor="text1"/>
          <w:sz w:val="24"/>
          <w:szCs w:val="24"/>
        </w:rPr>
        <w:t>както и при изпълнението на РП 6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5027B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провеждат обучения с педагогически специалисти и други експерти, за които се </w:t>
      </w:r>
      <w:r w:rsidR="00913DF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изчисляват </w:t>
      </w:r>
      <w:r w:rsidR="00BC589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необходимите</w:t>
      </w:r>
      <w:r w:rsidR="007F056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разходи за </w:t>
      </w:r>
      <w:r w:rsidR="00BC589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съответния тип обучение</w:t>
      </w:r>
      <w:r w:rsidR="002357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BC589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като се прилага </w:t>
      </w:r>
      <w:r w:rsidR="00E27BB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подходът, описан </w:t>
      </w:r>
      <w:r w:rsidR="002357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раздел </w:t>
      </w:r>
      <w:r w:rsidR="00B16F40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00235745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749C5701" w14:textId="2FFBA2A4" w:rsidR="00E41461" w:rsidRDefault="000C0666" w:rsidP="001A6643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изпълнението на РП 5 </w:t>
      </w:r>
      <w:r w:rsidR="008E4A1F">
        <w:rPr>
          <w:rFonts w:ascii="Times New Roman" w:eastAsia="Times New Roman" w:hAnsi="Times New Roman"/>
          <w:color w:val="000000" w:themeColor="text1"/>
          <w:sz w:val="24"/>
          <w:szCs w:val="24"/>
        </w:rPr>
        <w:t>може да се планира</w:t>
      </w:r>
      <w:r w:rsidR="00E41461">
        <w:rPr>
          <w:rFonts w:ascii="Times New Roman" w:eastAsia="Times New Roman" w:hAnsi="Times New Roman"/>
          <w:color w:val="000000" w:themeColor="text1"/>
          <w:sz w:val="24"/>
          <w:szCs w:val="24"/>
        </w:rPr>
        <w:t>т</w:t>
      </w:r>
      <w:r w:rsidR="00E41461" w:rsidRPr="00E41461">
        <w:t xml:space="preserve"> </w:t>
      </w:r>
      <w:r w:rsidR="00E41461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="00E41461" w:rsidRPr="00E41461">
        <w:rPr>
          <w:rFonts w:ascii="Times New Roman" w:eastAsia="Times New Roman" w:hAnsi="Times New Roman"/>
          <w:color w:val="000000" w:themeColor="text1"/>
          <w:sz w:val="24"/>
          <w:szCs w:val="24"/>
        </w:rPr>
        <w:t>бучени</w:t>
      </w:r>
      <w:r w:rsidR="007C12AC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="00E41461" w:rsidRPr="00E4146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 чужбина на </w:t>
      </w:r>
      <w:r w:rsidR="0086572D" w:rsidRPr="0086572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педагогически специалисти за разработване на задачи и казуси за външно оценяване. При изпълнението на РП 6 може да се планират обучения в чужбина на педагогически специалисти, на </w:t>
      </w:r>
      <w:r w:rsidR="00E41461" w:rsidRPr="00E4146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експерти от МОН, </w:t>
      </w:r>
      <w:r w:rsidR="007C12AC">
        <w:rPr>
          <w:rFonts w:ascii="Times New Roman" w:eastAsia="Times New Roman" w:hAnsi="Times New Roman"/>
          <w:color w:val="000000" w:themeColor="text1"/>
          <w:sz w:val="24"/>
          <w:szCs w:val="24"/>
        </w:rPr>
        <w:t>ИО</w:t>
      </w:r>
      <w:r w:rsidR="00E41461" w:rsidRPr="00E4146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РУО</w:t>
      </w:r>
      <w:r w:rsidR="0086572D" w:rsidRPr="0086572D">
        <w:t xml:space="preserve"> </w:t>
      </w:r>
      <w:r w:rsidR="0086572D" w:rsidRPr="0086572D">
        <w:rPr>
          <w:rFonts w:ascii="Times New Roman" w:eastAsia="Times New Roman" w:hAnsi="Times New Roman"/>
          <w:color w:val="000000" w:themeColor="text1"/>
          <w:sz w:val="24"/>
          <w:szCs w:val="24"/>
        </w:rPr>
        <w:t>за прилагане на компетентностно ориентирано преподаване и за преминаване на учебни програми към компетентностно-ориентирано преподаване</w:t>
      </w:r>
      <w:r w:rsidR="00391C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В </w:t>
      </w:r>
      <w:r w:rsidR="0086572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тези случаи </w:t>
      </w:r>
      <w:r w:rsidR="00E2116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участниците </w:t>
      </w:r>
      <w:r w:rsidR="00F247D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обучения се прилагат </w:t>
      </w:r>
      <w:r w:rsidR="00A63154" w:rsidRPr="000A781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единичните разходи </w:t>
      </w:r>
      <w:r w:rsidR="000A7816" w:rsidRPr="000A781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за надбавки на участниците</w:t>
      </w:r>
      <w:r w:rsidR="000A781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A63154" w:rsidRPr="00A63154">
        <w:rPr>
          <w:rFonts w:ascii="Times New Roman" w:eastAsia="Times New Roman" w:hAnsi="Times New Roman"/>
          <w:color w:val="000000" w:themeColor="text1"/>
          <w:sz w:val="24"/>
          <w:szCs w:val="24"/>
        </w:rPr>
        <w:t>съгласно Решение на Европейската комисия С(2021)35</w:t>
      </w:r>
      <w:r w:rsidR="007722E7">
        <w:rPr>
          <w:rStyle w:val="FootnoteReference"/>
          <w:rFonts w:ascii="Times New Roman" w:eastAsia="Times New Roman" w:hAnsi="Times New Roman"/>
          <w:color w:val="000000" w:themeColor="text1"/>
          <w:sz w:val="24"/>
          <w:szCs w:val="24"/>
        </w:rPr>
        <w:footnoteReference w:id="4"/>
      </w:r>
      <w:r w:rsidR="00A63154" w:rsidRPr="00A63154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F247D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както е посочено в раздел 3.</w:t>
      </w:r>
      <w:r w:rsidR="00EC31C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062DE">
        <w:rPr>
          <w:rFonts w:ascii="Times New Roman" w:eastAsia="Times New Roman" w:hAnsi="Times New Roman"/>
          <w:color w:val="000000" w:themeColor="text1"/>
          <w:sz w:val="24"/>
          <w:szCs w:val="24"/>
        </w:rPr>
        <w:t>Това решение се прилага и при определяне на надбавките за чуждестранните експерти</w:t>
      </w:r>
      <w:r w:rsidR="00F42B66">
        <w:rPr>
          <w:rFonts w:ascii="Times New Roman" w:eastAsia="Times New Roman" w:hAnsi="Times New Roman"/>
          <w:color w:val="000000" w:themeColor="text1"/>
          <w:sz w:val="24"/>
          <w:szCs w:val="24"/>
        </w:rPr>
        <w:t>, които посещават България при изпълнението на РП 1.</w:t>
      </w:r>
    </w:p>
    <w:p w14:paraId="2CC2BCB2" w14:textId="212020E3" w:rsidR="00E41461" w:rsidRPr="00E41461" w:rsidRDefault="001173F4" w:rsidP="001A6643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 актуализиране на </w:t>
      </w:r>
      <w:r w:rsidR="008137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приложимите единични разходи, актуализираните размери се </w:t>
      </w:r>
      <w:r w:rsidR="00495ADE">
        <w:rPr>
          <w:rFonts w:ascii="Times New Roman" w:hAnsi="Times New Roman"/>
          <w:sz w:val="24"/>
          <w:szCs w:val="24"/>
        </w:rPr>
        <w:t>използва</w:t>
      </w:r>
      <w:r w:rsidR="00F32967">
        <w:rPr>
          <w:rFonts w:ascii="Times New Roman" w:hAnsi="Times New Roman"/>
          <w:sz w:val="24"/>
          <w:szCs w:val="24"/>
        </w:rPr>
        <w:t>т</w:t>
      </w:r>
      <w:r w:rsidR="00495ADE">
        <w:rPr>
          <w:rFonts w:ascii="Times New Roman" w:hAnsi="Times New Roman"/>
          <w:sz w:val="24"/>
          <w:szCs w:val="24"/>
        </w:rPr>
        <w:t xml:space="preserve"> за изчисляване на </w:t>
      </w:r>
      <w:r w:rsidR="00BC3A30">
        <w:rPr>
          <w:rFonts w:ascii="Times New Roman" w:hAnsi="Times New Roman"/>
          <w:sz w:val="24"/>
          <w:szCs w:val="24"/>
        </w:rPr>
        <w:t xml:space="preserve">дължимите </w:t>
      </w:r>
      <w:r w:rsidR="00495ADE">
        <w:rPr>
          <w:rFonts w:ascii="Times New Roman" w:hAnsi="Times New Roman"/>
          <w:sz w:val="24"/>
          <w:szCs w:val="24"/>
        </w:rPr>
        <w:t xml:space="preserve">плащания за </w:t>
      </w:r>
      <w:r w:rsidR="009924D5">
        <w:rPr>
          <w:rFonts w:ascii="Times New Roman" w:hAnsi="Times New Roman"/>
          <w:sz w:val="24"/>
          <w:szCs w:val="24"/>
        </w:rPr>
        <w:t>крайните продукти</w:t>
      </w:r>
      <w:r w:rsidR="00183B4E">
        <w:rPr>
          <w:rFonts w:ascii="Times New Roman" w:hAnsi="Times New Roman"/>
          <w:sz w:val="24"/>
          <w:szCs w:val="24"/>
        </w:rPr>
        <w:t xml:space="preserve"> или обученията</w:t>
      </w:r>
      <w:r w:rsidR="00F32967">
        <w:rPr>
          <w:rFonts w:ascii="Times New Roman" w:hAnsi="Times New Roman"/>
          <w:sz w:val="24"/>
          <w:szCs w:val="24"/>
        </w:rPr>
        <w:t>, които са окончателно завършени</w:t>
      </w:r>
      <w:r w:rsidR="005F15AE">
        <w:rPr>
          <w:rFonts w:ascii="Times New Roman" w:hAnsi="Times New Roman"/>
          <w:sz w:val="24"/>
          <w:szCs w:val="24"/>
        </w:rPr>
        <w:t xml:space="preserve"> или проведени</w:t>
      </w:r>
      <w:r w:rsidR="00F32967">
        <w:rPr>
          <w:rFonts w:ascii="Times New Roman" w:hAnsi="Times New Roman"/>
          <w:sz w:val="24"/>
          <w:szCs w:val="24"/>
        </w:rPr>
        <w:t xml:space="preserve"> след </w:t>
      </w:r>
      <w:r w:rsidR="00E96AF1">
        <w:rPr>
          <w:rFonts w:ascii="Times New Roman" w:hAnsi="Times New Roman"/>
          <w:sz w:val="24"/>
          <w:szCs w:val="24"/>
        </w:rPr>
        <w:t>датата, от която се прилагат актуализираните размери.</w:t>
      </w:r>
    </w:p>
    <w:p w14:paraId="7EA5B4F5" w14:textId="45CDD1E7" w:rsidR="00270C7D" w:rsidRDefault="00270C7D" w:rsidP="00F6433F">
      <w:pPr>
        <w:spacing w:before="120" w:after="0" w:line="3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B6E8084" w14:textId="77777777" w:rsidR="003C2D5F" w:rsidRPr="009F251A" w:rsidRDefault="003C2D5F" w:rsidP="003C2D5F">
      <w:pPr>
        <w:pStyle w:val="Style1"/>
      </w:pPr>
      <w:bookmarkStart w:id="9" w:name="_Toc121409009"/>
      <w:bookmarkStart w:id="10" w:name="_Toc121493488"/>
      <w:r w:rsidRPr="009F251A">
        <w:t>Одитна следа</w:t>
      </w:r>
      <w:bookmarkEnd w:id="9"/>
      <w:bookmarkEnd w:id="10"/>
    </w:p>
    <w:p w14:paraId="29450C37" w14:textId="77777777" w:rsidR="003C2D5F" w:rsidRPr="009F251A" w:rsidRDefault="003C2D5F" w:rsidP="003C2D5F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8F25FAA" w14:textId="77777777" w:rsidR="003C2D5F" w:rsidRPr="009F251A" w:rsidRDefault="003C2D5F" w:rsidP="003C2D5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F251A">
        <w:rPr>
          <w:rFonts w:ascii="Times New Roman" w:hAnsi="Times New Roman"/>
          <w:b/>
          <w:sz w:val="24"/>
          <w:szCs w:val="24"/>
        </w:rPr>
        <w:t>Одитна следа:</w:t>
      </w:r>
    </w:p>
    <w:p w14:paraId="654CD3BF" w14:textId="639B4132" w:rsidR="003C2D5F" w:rsidRPr="009F251A" w:rsidRDefault="003C2D5F" w:rsidP="009A2062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</w:rPr>
        <w:t xml:space="preserve">• </w:t>
      </w:r>
      <w:r w:rsidRPr="009F251A">
        <w:rPr>
          <w:rFonts w:ascii="Times New Roman" w:hAnsi="Times New Roman"/>
          <w:sz w:val="24"/>
          <w:szCs w:val="24"/>
        </w:rPr>
        <w:t>използваната методика за определяне на стойността на даден единичен разход трябва да бъде документирана и съхранявана,</w:t>
      </w:r>
    </w:p>
    <w:p w14:paraId="4F64422B" w14:textId="77777777" w:rsidR="003C2D5F" w:rsidRPr="009F251A" w:rsidRDefault="003C2D5F" w:rsidP="009A2062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lastRenderedPageBreak/>
        <w:t>• в документа, установяващ условията за предоставяне на подкрепа, трябва да бъде ясно определена стандартната таблица за единичните разходи и еднократните суми и факторите, които трябва да бъдат изпълнени, за да бъде извършено плащането,</w:t>
      </w:r>
    </w:p>
    <w:p w14:paraId="544B4828" w14:textId="77777777" w:rsidR="003C2D5F" w:rsidRPr="009F251A" w:rsidRDefault="003C2D5F" w:rsidP="009A2062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 xml:space="preserve">• доказателство за успешно приключило обучение / участие в занимания по интереси (удостоверение съгласно </w:t>
      </w:r>
      <w:r w:rsidRPr="009F251A">
        <w:rPr>
          <w:rFonts w:ascii="Times New Roman" w:hAnsi="Times New Roman"/>
          <w:iCs/>
          <w:sz w:val="24"/>
          <w:szCs w:val="24"/>
        </w:rPr>
        <w:t>Наредба № 15 от 2019 г.</w:t>
      </w:r>
      <w:r w:rsidRPr="009F251A">
        <w:rPr>
          <w:rFonts w:ascii="Times New Roman" w:hAnsi="Times New Roman"/>
          <w:sz w:val="24"/>
          <w:szCs w:val="24"/>
        </w:rPr>
        <w:t>, сертификат/удостоверение),</w:t>
      </w:r>
    </w:p>
    <w:p w14:paraId="671C0CE2" w14:textId="77777777" w:rsidR="003C2D5F" w:rsidRPr="009F251A" w:rsidRDefault="003C2D5F" w:rsidP="009A2062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>• ако има изискване целевата група да отговаря на определен профил, трябва да се проверява допустимостта на участниците.</w:t>
      </w:r>
    </w:p>
    <w:p w14:paraId="3A271896" w14:textId="77777777" w:rsidR="003C2D5F" w:rsidRPr="009F251A" w:rsidRDefault="003C2D5F" w:rsidP="003C2D5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08E70E35" w14:textId="4FD8E1D8" w:rsidR="003C2D5F" w:rsidRPr="009F251A" w:rsidRDefault="003C2D5F" w:rsidP="003C2D5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F251A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</w:t>
      </w:r>
    </w:p>
    <w:p w14:paraId="2318C752" w14:textId="77777777" w:rsidR="003C2D5F" w:rsidRPr="009F251A" w:rsidRDefault="003C2D5F" w:rsidP="001F66C3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b/>
          <w:sz w:val="24"/>
          <w:szCs w:val="24"/>
        </w:rPr>
        <w:t>Общ принцип:</w:t>
      </w:r>
      <w:r w:rsidRPr="009F251A">
        <w:rPr>
          <w:rFonts w:ascii="Times New Roman" w:hAnsi="Times New Roman"/>
          <w:sz w:val="24"/>
          <w:szCs w:val="24"/>
        </w:rPr>
        <w:t xml:space="preserve"> специфични категории допустими разходи, които предварително ясно са определени, се изчисляват чрез прилагането на предварително фиксиран процент към една или няколко други категории допустими разходи.</w:t>
      </w:r>
    </w:p>
    <w:p w14:paraId="08A353E2" w14:textId="77777777" w:rsidR="003C2D5F" w:rsidRPr="009F251A" w:rsidRDefault="003C2D5F" w:rsidP="001F66C3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sz w:val="24"/>
          <w:szCs w:val="24"/>
        </w:rPr>
        <w:t>При съпоставянето на системи за финансиране с единни ставки винаги трябва да се сравняват всички елементи на метода, а не само ставките:</w:t>
      </w:r>
    </w:p>
    <w:p w14:paraId="7CD5B653" w14:textId="77777777" w:rsidR="003C2D5F" w:rsidRPr="009F251A" w:rsidRDefault="003C2D5F" w:rsidP="003C2D5F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F251A">
        <w:rPr>
          <w:rFonts w:ascii="Times New Roman" w:hAnsi="Times New Roman"/>
          <w:i/>
          <w:sz w:val="24"/>
          <w:szCs w:val="24"/>
        </w:rPr>
        <w:t>• категориите допустими разходи, на чиято база следва да се прилага ставката за изчисляване на допустимите суми</w:t>
      </w:r>
    </w:p>
    <w:p w14:paraId="2DC09B52" w14:textId="77777777" w:rsidR="003C2D5F" w:rsidRPr="009F251A" w:rsidRDefault="003C2D5F" w:rsidP="003C2D5F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F251A">
        <w:rPr>
          <w:rFonts w:ascii="Times New Roman" w:hAnsi="Times New Roman"/>
          <w:i/>
          <w:sz w:val="24"/>
          <w:szCs w:val="24"/>
        </w:rPr>
        <w:t>• самата единна ставка,</w:t>
      </w:r>
    </w:p>
    <w:p w14:paraId="5113545B" w14:textId="77777777" w:rsidR="003C2D5F" w:rsidRPr="009F251A" w:rsidRDefault="003C2D5F" w:rsidP="003C2D5F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F251A">
        <w:rPr>
          <w:rFonts w:ascii="Times New Roman" w:hAnsi="Times New Roman"/>
          <w:i/>
          <w:sz w:val="24"/>
          <w:szCs w:val="24"/>
        </w:rPr>
        <w:t>• категориите допустими разходи, изчислени с единната ставка,</w:t>
      </w:r>
    </w:p>
    <w:p w14:paraId="6D981068" w14:textId="77777777" w:rsidR="003C2D5F" w:rsidRPr="009F251A" w:rsidRDefault="003C2D5F" w:rsidP="003C2D5F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F251A">
        <w:rPr>
          <w:rFonts w:ascii="Times New Roman" w:hAnsi="Times New Roman"/>
          <w:i/>
          <w:sz w:val="24"/>
          <w:szCs w:val="24"/>
        </w:rPr>
        <w:t>• ако е уместно, категориите допустими разходи, за които единната ставка не се прилага и които не се изчисляват с единна ставка.</w:t>
      </w:r>
    </w:p>
    <w:p w14:paraId="57C6C0DC" w14:textId="15B4CD87" w:rsidR="007910F9" w:rsidRDefault="007910F9" w:rsidP="003C2D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A554BF" w14:textId="77777777" w:rsidR="00DD2A17" w:rsidRDefault="00DD2A17" w:rsidP="003C2D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E103B1" w14:textId="77777777" w:rsidR="003C2D5F" w:rsidRPr="009F251A" w:rsidRDefault="003C2D5F" w:rsidP="003C2D5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F251A">
        <w:rPr>
          <w:rFonts w:ascii="Times New Roman" w:hAnsi="Times New Roman"/>
          <w:b/>
          <w:sz w:val="24"/>
          <w:szCs w:val="24"/>
        </w:rPr>
        <w:t>Одитна следа: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C2D5F" w:rsidRPr="009F251A" w14:paraId="60936750" w14:textId="77777777" w:rsidTr="004962F9">
        <w:tc>
          <w:tcPr>
            <w:tcW w:w="4531" w:type="dxa"/>
            <w:shd w:val="clear" w:color="auto" w:fill="auto"/>
          </w:tcPr>
          <w:p w14:paraId="7257659B" w14:textId="77777777" w:rsidR="003C2D5F" w:rsidRPr="009F251A" w:rsidRDefault="003C2D5F" w:rsidP="004962F9">
            <w:pPr>
              <w:spacing w:before="60" w:after="0" w:line="276" w:lineRule="auto"/>
              <w:jc w:val="both"/>
              <w:rPr>
                <w:rFonts w:ascii="Times New Roman" w:hAnsi="Times New Roman"/>
              </w:rPr>
            </w:pPr>
            <w:r w:rsidRPr="009F251A">
              <w:rPr>
                <w:rFonts w:ascii="Times New Roman" w:hAnsi="Times New Roman"/>
              </w:rPr>
              <w:t xml:space="preserve">Категория допустими разходи, на чиято база следва да се прилага ставката за изчисляване на допустимите суми </w:t>
            </w:r>
          </w:p>
          <w:p w14:paraId="1DE1D004" w14:textId="77777777" w:rsidR="003C2D5F" w:rsidRPr="009F251A" w:rsidRDefault="003C2D5F" w:rsidP="004962F9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1" w:type="dxa"/>
            <w:shd w:val="clear" w:color="auto" w:fill="auto"/>
          </w:tcPr>
          <w:p w14:paraId="7AF5E1B9" w14:textId="77777777" w:rsidR="003C2D5F" w:rsidRPr="009F251A" w:rsidRDefault="003C2D5F" w:rsidP="00466F3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F251A">
              <w:rPr>
                <w:rFonts w:ascii="Times New Roman" w:hAnsi="Times New Roman"/>
                <w:b/>
                <w:bCs/>
              </w:rPr>
              <w:t>Единични разходи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  <w:p w14:paraId="45E15FDB" w14:textId="230AA483" w:rsidR="003C2D5F" w:rsidRPr="005146FB" w:rsidRDefault="005B2FCC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Възнаграждения за изпълнението на </w:t>
            </w:r>
            <w:r w:rsidR="00A51857">
              <w:rPr>
                <w:rFonts w:ascii="Times New Roman" w:hAnsi="Times New Roman"/>
              </w:rPr>
              <w:t>РП 1</w:t>
            </w:r>
          </w:p>
          <w:p w14:paraId="7EF09563" w14:textId="3B5091B4" w:rsidR="005B2FCC" w:rsidRPr="005146FB" w:rsidRDefault="005B2FCC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Възнаграждения за изпълнението на </w:t>
            </w:r>
            <w:r w:rsidR="00A51857">
              <w:rPr>
                <w:rFonts w:ascii="Times New Roman" w:hAnsi="Times New Roman"/>
              </w:rPr>
              <w:t>РП 2</w:t>
            </w:r>
          </w:p>
          <w:p w14:paraId="474596B8" w14:textId="77777777" w:rsidR="003C2D5F" w:rsidRDefault="005B2FCC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Възнаграждения за изпълнението на </w:t>
            </w:r>
            <w:r w:rsidR="00A51857">
              <w:rPr>
                <w:rFonts w:ascii="Times New Roman" w:hAnsi="Times New Roman"/>
              </w:rPr>
              <w:t xml:space="preserve">РП 3 – РП </w:t>
            </w:r>
            <w:r w:rsidR="002702B6">
              <w:rPr>
                <w:rFonts w:ascii="Times New Roman" w:hAnsi="Times New Roman"/>
              </w:rPr>
              <w:t>5</w:t>
            </w:r>
          </w:p>
          <w:p w14:paraId="263BD627" w14:textId="307397A1" w:rsidR="002702B6" w:rsidRPr="000917FB" w:rsidRDefault="002702B6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Възнаграждения за изпълнението на РП 6</w:t>
            </w:r>
          </w:p>
        </w:tc>
      </w:tr>
      <w:tr w:rsidR="00C51CD9" w:rsidRPr="009F251A" w14:paraId="37C06F70" w14:textId="77777777" w:rsidTr="004962F9">
        <w:tc>
          <w:tcPr>
            <w:tcW w:w="4531" w:type="dxa"/>
            <w:shd w:val="clear" w:color="auto" w:fill="auto"/>
          </w:tcPr>
          <w:p w14:paraId="0616FD54" w14:textId="5AC1E8C9" w:rsidR="00C51CD9" w:rsidRPr="009F251A" w:rsidRDefault="00C51CD9" w:rsidP="004962F9">
            <w:pPr>
              <w:spacing w:before="6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Един</w:t>
            </w:r>
            <w:r w:rsidR="001765F6">
              <w:rPr>
                <w:rFonts w:ascii="Times New Roman" w:hAnsi="Times New Roman"/>
              </w:rPr>
              <w:t>на ставка 40 %</w:t>
            </w:r>
            <w:r w:rsidR="00FD2444">
              <w:rPr>
                <w:rFonts w:ascii="Times New Roman" w:hAnsi="Times New Roman"/>
              </w:rPr>
              <w:t xml:space="preserve">, приложена върху разходите за възнаграждения за изпълнението на </w:t>
            </w:r>
            <w:r w:rsidR="002702B6">
              <w:rPr>
                <w:rFonts w:ascii="Times New Roman" w:hAnsi="Times New Roman"/>
              </w:rPr>
              <w:t>РП 1 – РП 6</w:t>
            </w:r>
          </w:p>
        </w:tc>
        <w:tc>
          <w:tcPr>
            <w:tcW w:w="4531" w:type="dxa"/>
            <w:shd w:val="clear" w:color="auto" w:fill="auto"/>
          </w:tcPr>
          <w:p w14:paraId="1BD32D08" w14:textId="2CD17D40" w:rsidR="00C51CD9" w:rsidRDefault="000917FB" w:rsidP="00466F3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Други </w:t>
            </w:r>
            <w:r w:rsidR="00ED6F20">
              <w:rPr>
                <w:rFonts w:ascii="Times New Roman" w:hAnsi="Times New Roman"/>
                <w:b/>
                <w:bCs/>
              </w:rPr>
              <w:t xml:space="preserve">преки и непреки </w:t>
            </w:r>
            <w:r>
              <w:rPr>
                <w:rFonts w:ascii="Times New Roman" w:hAnsi="Times New Roman"/>
                <w:b/>
                <w:bCs/>
              </w:rPr>
              <w:t>разходи</w:t>
            </w:r>
          </w:p>
          <w:p w14:paraId="7BBED55D" w14:textId="1ABF275B" w:rsidR="00ED6F20" w:rsidRPr="0023784A" w:rsidRDefault="00CE288A" w:rsidP="0023784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ED6F20" w:rsidRPr="0023784A">
              <w:rPr>
                <w:rFonts w:ascii="Times New Roman" w:hAnsi="Times New Roman"/>
              </w:rPr>
              <w:t>зчислена</w:t>
            </w:r>
            <w:r>
              <w:rPr>
                <w:rFonts w:ascii="Times New Roman" w:hAnsi="Times New Roman"/>
              </w:rPr>
              <w:t>та</w:t>
            </w:r>
            <w:r w:rsidR="00ED6F20" w:rsidRPr="0023784A">
              <w:rPr>
                <w:rFonts w:ascii="Times New Roman" w:hAnsi="Times New Roman"/>
              </w:rPr>
              <w:t xml:space="preserve"> сума на другите п</w:t>
            </w:r>
            <w:r w:rsidR="0023784A" w:rsidRPr="0023784A">
              <w:rPr>
                <w:rFonts w:ascii="Times New Roman" w:hAnsi="Times New Roman"/>
              </w:rPr>
              <w:t>реки и непреки разходи</w:t>
            </w:r>
            <w:r w:rsidR="00900FE2">
              <w:rPr>
                <w:rFonts w:ascii="Times New Roman" w:hAnsi="Times New Roman"/>
              </w:rPr>
              <w:t>:</w:t>
            </w:r>
          </w:p>
          <w:p w14:paraId="6E51F7AD" w14:textId="4D7A49F6" w:rsidR="000917FB" w:rsidRPr="005146FB" w:rsidRDefault="00900FE2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 w:rsidRPr="0023784A">
              <w:rPr>
                <w:rFonts w:ascii="Times New Roman" w:hAnsi="Times New Roman"/>
              </w:rPr>
              <w:t xml:space="preserve">се </w:t>
            </w:r>
            <w:r>
              <w:rPr>
                <w:rFonts w:ascii="Times New Roman" w:hAnsi="Times New Roman"/>
              </w:rPr>
              <w:t>включва в сум за изпълнение на РП 1 и РП 2</w:t>
            </w:r>
          </w:p>
          <w:p w14:paraId="2A878449" w14:textId="677437DC" w:rsidR="000917FB" w:rsidRDefault="00900FE2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 включва </w:t>
            </w:r>
            <w:r w:rsidR="00E921FF">
              <w:rPr>
                <w:rFonts w:ascii="Times New Roman" w:hAnsi="Times New Roman"/>
              </w:rPr>
              <w:t xml:space="preserve">при изчисляването на </w:t>
            </w:r>
            <w:r w:rsidR="006D3135">
              <w:rPr>
                <w:rFonts w:ascii="Times New Roman" w:hAnsi="Times New Roman"/>
              </w:rPr>
              <w:t>допустимите</w:t>
            </w:r>
            <w:r w:rsidR="000E0A23">
              <w:rPr>
                <w:rFonts w:ascii="Times New Roman" w:hAnsi="Times New Roman"/>
              </w:rPr>
              <w:t xml:space="preserve"> </w:t>
            </w:r>
            <w:r w:rsidR="00E921FF">
              <w:rPr>
                <w:rFonts w:ascii="Times New Roman" w:hAnsi="Times New Roman"/>
              </w:rPr>
              <w:t xml:space="preserve">разходи за обучения, които се прилагат </w:t>
            </w:r>
            <w:r w:rsidR="00B73D75">
              <w:rPr>
                <w:rFonts w:ascii="Times New Roman" w:hAnsi="Times New Roman"/>
              </w:rPr>
              <w:t xml:space="preserve">основно </w:t>
            </w:r>
            <w:r w:rsidR="00E921FF">
              <w:rPr>
                <w:rFonts w:ascii="Times New Roman" w:hAnsi="Times New Roman"/>
              </w:rPr>
              <w:t>по РП 6</w:t>
            </w:r>
          </w:p>
          <w:p w14:paraId="3B0130F8" w14:textId="73E3CBDC" w:rsidR="000917FB" w:rsidRPr="00466F35" w:rsidRDefault="00F91A7C" w:rsidP="007235EC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 включва в </w:t>
            </w:r>
            <w:r w:rsidR="00077FFD">
              <w:rPr>
                <w:rFonts w:ascii="Times New Roman" w:hAnsi="Times New Roman"/>
              </w:rPr>
              <w:t xml:space="preserve">изчисляването на </w:t>
            </w:r>
            <w:r w:rsidR="00CB294D">
              <w:rPr>
                <w:rFonts w:ascii="Times New Roman" w:hAnsi="Times New Roman"/>
              </w:rPr>
              <w:t xml:space="preserve">дължимата сума </w:t>
            </w:r>
            <w:r>
              <w:rPr>
                <w:rFonts w:ascii="Times New Roman" w:hAnsi="Times New Roman"/>
              </w:rPr>
              <w:t xml:space="preserve">за всеки </w:t>
            </w:r>
            <w:r w:rsidR="00CB294D">
              <w:rPr>
                <w:rFonts w:ascii="Times New Roman" w:hAnsi="Times New Roman"/>
              </w:rPr>
              <w:t xml:space="preserve">верифициран </w:t>
            </w:r>
            <w:r>
              <w:rPr>
                <w:rFonts w:ascii="Times New Roman" w:hAnsi="Times New Roman"/>
              </w:rPr>
              <w:t>краен продукт</w:t>
            </w:r>
            <w:r w:rsidR="00077FFD">
              <w:rPr>
                <w:rFonts w:ascii="Times New Roman" w:hAnsi="Times New Roman"/>
              </w:rPr>
              <w:t xml:space="preserve"> при изпълнението на РП 3</w:t>
            </w:r>
            <w:r w:rsidR="00CB294D">
              <w:rPr>
                <w:rFonts w:ascii="Times New Roman" w:hAnsi="Times New Roman"/>
              </w:rPr>
              <w:t xml:space="preserve"> –</w:t>
            </w:r>
            <w:r w:rsidR="00077FFD">
              <w:rPr>
                <w:rFonts w:ascii="Times New Roman" w:hAnsi="Times New Roman"/>
              </w:rPr>
              <w:t xml:space="preserve"> РП 5</w:t>
            </w:r>
          </w:p>
        </w:tc>
      </w:tr>
      <w:tr w:rsidR="00847EFC" w:rsidRPr="009F251A" w14:paraId="742EFA64" w14:textId="77777777" w:rsidTr="004962F9">
        <w:tc>
          <w:tcPr>
            <w:tcW w:w="4531" w:type="dxa"/>
            <w:shd w:val="clear" w:color="auto" w:fill="auto"/>
          </w:tcPr>
          <w:p w14:paraId="03462977" w14:textId="28EE337D" w:rsidR="00847EFC" w:rsidRDefault="00504911" w:rsidP="004962F9">
            <w:pPr>
              <w:spacing w:before="6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Надбавки за участниците</w:t>
            </w:r>
          </w:p>
        </w:tc>
        <w:tc>
          <w:tcPr>
            <w:tcW w:w="4531" w:type="dxa"/>
            <w:shd w:val="clear" w:color="auto" w:fill="auto"/>
          </w:tcPr>
          <w:p w14:paraId="399AE37F" w14:textId="77777777" w:rsidR="00847EFC" w:rsidRDefault="00362C8E" w:rsidP="004962F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Надбавки за транспорт, дневни и нощувки</w:t>
            </w:r>
          </w:p>
          <w:p w14:paraId="7AEE32AF" w14:textId="684FDF63" w:rsidR="00485379" w:rsidRDefault="00485379" w:rsidP="00485379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Включват се при определяне на </w:t>
            </w:r>
            <w:r w:rsidR="00B574A1">
              <w:rPr>
                <w:rFonts w:ascii="Times New Roman" w:hAnsi="Times New Roman"/>
              </w:rPr>
              <w:t>разходите</w:t>
            </w:r>
            <w:r w:rsidR="00364D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 изпълнение на РП 1 </w:t>
            </w:r>
          </w:p>
          <w:p w14:paraId="029C068D" w14:textId="5B39C0BD" w:rsidR="004D5B21" w:rsidRDefault="00B73D75" w:rsidP="00485379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D5B21">
              <w:rPr>
                <w:rFonts w:ascii="Times New Roman" w:hAnsi="Times New Roman"/>
              </w:rPr>
              <w:t>ключва</w:t>
            </w:r>
            <w:r>
              <w:rPr>
                <w:rFonts w:ascii="Times New Roman" w:hAnsi="Times New Roman"/>
              </w:rPr>
              <w:t>т</w:t>
            </w:r>
            <w:r w:rsidR="004D5B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се </w:t>
            </w:r>
            <w:r w:rsidR="004D5B21">
              <w:rPr>
                <w:rFonts w:ascii="Times New Roman" w:hAnsi="Times New Roman"/>
              </w:rPr>
              <w:t xml:space="preserve">при изчисляването на </w:t>
            </w:r>
            <w:r w:rsidR="00B574A1">
              <w:rPr>
                <w:rFonts w:ascii="Times New Roman" w:hAnsi="Times New Roman"/>
              </w:rPr>
              <w:t xml:space="preserve">допустимите </w:t>
            </w:r>
            <w:r w:rsidR="004D5B21">
              <w:rPr>
                <w:rFonts w:ascii="Times New Roman" w:hAnsi="Times New Roman"/>
              </w:rPr>
              <w:t>разходи за обучения</w:t>
            </w:r>
          </w:p>
          <w:p w14:paraId="35B17700" w14:textId="7C337D20" w:rsidR="00992084" w:rsidRPr="00485379" w:rsidRDefault="00992084" w:rsidP="00485379">
            <w:pPr>
              <w:pStyle w:val="ListParagraph"/>
              <w:numPr>
                <w:ilvl w:val="0"/>
                <w:numId w:val="3"/>
              </w:numPr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Отчитат се отделно при </w:t>
            </w:r>
            <w:r w:rsidR="00C74BFD">
              <w:rPr>
                <w:rFonts w:ascii="Times New Roman" w:hAnsi="Times New Roman"/>
              </w:rPr>
              <w:t>пътуванията</w:t>
            </w:r>
            <w:r>
              <w:rPr>
                <w:rFonts w:ascii="Times New Roman" w:hAnsi="Times New Roman"/>
              </w:rPr>
              <w:t xml:space="preserve"> в</w:t>
            </w:r>
            <w:r w:rsidR="00C74BFD">
              <w:rPr>
                <w:rFonts w:ascii="Times New Roman" w:hAnsi="Times New Roman"/>
              </w:rPr>
              <w:t>/от</w:t>
            </w:r>
            <w:r>
              <w:rPr>
                <w:rFonts w:ascii="Times New Roman" w:hAnsi="Times New Roman"/>
              </w:rPr>
              <w:t xml:space="preserve"> чужбина</w:t>
            </w:r>
          </w:p>
        </w:tc>
      </w:tr>
    </w:tbl>
    <w:p w14:paraId="0BB2DE59" w14:textId="53BBDF59" w:rsidR="007235EC" w:rsidRDefault="007235EC" w:rsidP="003C2D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0BDE2EB" w14:textId="77777777" w:rsidR="0064619B" w:rsidRDefault="0064619B" w:rsidP="003C2D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9C95CB" w14:textId="77777777" w:rsidR="0064619B" w:rsidRDefault="0064619B" w:rsidP="003C2D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A610A7" w14:textId="77777777" w:rsidR="0064619B" w:rsidRDefault="0064619B" w:rsidP="003C2D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0E2AB95" w14:textId="30ACB033" w:rsidR="002011D7" w:rsidRPr="00713535" w:rsidRDefault="00713535" w:rsidP="002F1240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 w:rsidR="002F1240" w:rsidRPr="002F1240">
        <w:rPr>
          <w:rFonts w:ascii="Times New Roman" w:hAnsi="Times New Roman"/>
          <w:b/>
          <w:bCs/>
          <w:sz w:val="24"/>
          <w:szCs w:val="24"/>
        </w:rPr>
        <w:t xml:space="preserve"> Б към </w:t>
      </w:r>
      <w:r w:rsidR="00155028">
        <w:rPr>
          <w:rFonts w:ascii="Times New Roman" w:hAnsi="Times New Roman"/>
          <w:b/>
          <w:bCs/>
          <w:sz w:val="24"/>
          <w:szCs w:val="24"/>
        </w:rPr>
        <w:t>Допълнение</w:t>
      </w:r>
      <w:r w:rsidR="002F1240" w:rsidRPr="002F1240">
        <w:rPr>
          <w:rFonts w:ascii="Times New Roman" w:hAnsi="Times New Roman"/>
          <w:b/>
          <w:bCs/>
          <w:sz w:val="24"/>
          <w:szCs w:val="24"/>
        </w:rPr>
        <w:t xml:space="preserve"> 1 от Приложение </w:t>
      </w:r>
      <w:r w:rsidR="009A1E63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933F0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на Регламент 2021/1060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EBB" w:rsidRPr="00236F76" w14:paraId="7AFFFD4B" w14:textId="77777777" w:rsidTr="002103DD">
        <w:tc>
          <w:tcPr>
            <w:tcW w:w="4531" w:type="dxa"/>
          </w:tcPr>
          <w:p w14:paraId="28B136F8" w14:textId="09E16C43" w:rsidR="008E6EBB" w:rsidRPr="00236F76" w:rsidRDefault="00D0547B" w:rsidP="00A525D5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Описание на вида операция</w:t>
            </w:r>
            <w:r w:rsidR="009150F0" w:rsidRPr="00236F76">
              <w:rPr>
                <w:rFonts w:ascii="Times New Roman" w:hAnsi="Times New Roman" w:cs="Times New Roman"/>
              </w:rPr>
              <w:t>, включително графика за изпълнение</w:t>
            </w:r>
          </w:p>
        </w:tc>
        <w:tc>
          <w:tcPr>
            <w:tcW w:w="4531" w:type="dxa"/>
          </w:tcPr>
          <w:p w14:paraId="3196A335" w14:textId="08846601" w:rsidR="008E6EBB" w:rsidRPr="00236F76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Операци</w:t>
            </w:r>
            <w:r w:rsidR="00556F31" w:rsidRPr="00236F76">
              <w:rPr>
                <w:rFonts w:ascii="Times New Roman" w:hAnsi="Times New Roman" w:cs="Times New Roman"/>
              </w:rPr>
              <w:t>я</w:t>
            </w:r>
            <w:r w:rsidR="004145F1" w:rsidRPr="00236F76">
              <w:rPr>
                <w:rFonts w:ascii="Times New Roman" w:hAnsi="Times New Roman" w:cs="Times New Roman"/>
              </w:rPr>
              <w:t xml:space="preserve"> със стратегическо значение</w:t>
            </w:r>
            <w:r w:rsidRPr="00236F76">
              <w:rPr>
                <w:rFonts w:ascii="Times New Roman" w:hAnsi="Times New Roman" w:cs="Times New Roman"/>
              </w:rPr>
              <w:t xml:space="preserve"> по </w:t>
            </w:r>
            <w:r w:rsidR="00E50671" w:rsidRPr="00236F76">
              <w:rPr>
                <w:rFonts w:ascii="Times New Roman" w:hAnsi="Times New Roman" w:cs="Times New Roman"/>
              </w:rPr>
              <w:t>П</w:t>
            </w:r>
            <w:r w:rsidR="00556F31" w:rsidRPr="00236F76">
              <w:rPr>
                <w:rFonts w:ascii="Times New Roman" w:hAnsi="Times New Roman" w:cs="Times New Roman"/>
              </w:rPr>
              <w:t>рограма „</w:t>
            </w:r>
            <w:r w:rsidR="00E50671" w:rsidRPr="00236F76">
              <w:rPr>
                <w:rFonts w:ascii="Times New Roman" w:hAnsi="Times New Roman" w:cs="Times New Roman"/>
              </w:rPr>
              <w:t>О</w:t>
            </w:r>
            <w:r w:rsidR="00556F31" w:rsidRPr="00236F76">
              <w:rPr>
                <w:rFonts w:ascii="Times New Roman" w:hAnsi="Times New Roman" w:cs="Times New Roman"/>
              </w:rPr>
              <w:t>бразование“</w:t>
            </w:r>
            <w:r w:rsidR="004702E2" w:rsidRPr="00236F76">
              <w:rPr>
                <w:rFonts w:ascii="Times New Roman" w:hAnsi="Times New Roman" w:cs="Times New Roman"/>
              </w:rPr>
              <w:t>;</w:t>
            </w:r>
            <w:r w:rsidRPr="00236F76">
              <w:rPr>
                <w:rFonts w:ascii="Times New Roman" w:hAnsi="Times New Roman" w:cs="Times New Roman"/>
              </w:rPr>
              <w:t xml:space="preserve"> ще се реализира в периода 202</w:t>
            </w:r>
            <w:r w:rsidR="00F46FDC">
              <w:rPr>
                <w:rFonts w:ascii="Times New Roman" w:hAnsi="Times New Roman" w:cs="Times New Roman"/>
                <w:lang w:val="en-US"/>
              </w:rPr>
              <w:t>5</w:t>
            </w:r>
            <w:r w:rsidRPr="00236F76">
              <w:rPr>
                <w:rFonts w:ascii="Times New Roman" w:hAnsi="Times New Roman" w:cs="Times New Roman"/>
              </w:rPr>
              <w:t xml:space="preserve"> – 2029 г.</w:t>
            </w:r>
          </w:p>
        </w:tc>
      </w:tr>
      <w:tr w:rsidR="008E6EBB" w:rsidRPr="00236F76" w14:paraId="0BFF8A52" w14:textId="77777777" w:rsidTr="002103DD">
        <w:tc>
          <w:tcPr>
            <w:tcW w:w="4531" w:type="dxa"/>
          </w:tcPr>
          <w:p w14:paraId="49A52CAB" w14:textId="77777777" w:rsidR="008E6EBB" w:rsidRPr="00236F76" w:rsidRDefault="008E6EBB" w:rsidP="00A525D5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Специфична(и) цел(и)</w:t>
            </w:r>
          </w:p>
        </w:tc>
        <w:tc>
          <w:tcPr>
            <w:tcW w:w="4531" w:type="dxa"/>
          </w:tcPr>
          <w:p w14:paraId="5B84AD77" w14:textId="3566715D" w:rsidR="008E6EBB" w:rsidRPr="00A5513D" w:rsidRDefault="00A22B0D" w:rsidP="00A5513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lang w:val="en-US" w:eastAsia="bg-BG"/>
              </w:rPr>
            </w:pPr>
            <w:r w:rsidRPr="00236F76">
              <w:rPr>
                <w:rFonts w:ascii="Times New Roman" w:hAnsi="Times New Roman" w:cs="Times New Roman"/>
                <w:lang w:eastAsia="bg-BG"/>
              </w:rPr>
              <w:t>СЦ по чл. 4, пар. 1, буква д) от Регламент (ЕС) 2021/1057 на Европейския парламент и на Съвета</w:t>
            </w:r>
            <w:r w:rsidRPr="00236F76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</w:t>
            </w:r>
            <w:r w:rsidR="00F304A6">
              <w:rPr>
                <w:rFonts w:ascii="Times New Roman" w:hAnsi="Times New Roman" w:cs="Times New Roman"/>
                <w:lang w:eastAsia="bg-BG"/>
              </w:rPr>
              <w:t>–</w:t>
            </w:r>
            <w:r w:rsidRPr="00236F76">
              <w:rPr>
                <w:rFonts w:ascii="Times New Roman" w:hAnsi="Times New Roman" w:cs="Times New Roman"/>
                <w:lang w:eastAsia="bg-BG"/>
              </w:rPr>
              <w:t xml:space="preserve"> Подобряване на</w:t>
            </w:r>
            <w:r w:rsidRPr="00236F76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236F76">
              <w:rPr>
                <w:rFonts w:ascii="Times New Roman" w:hAnsi="Times New Roman" w:cs="Times New Roman"/>
                <w:lang w:eastAsia="bg-BG"/>
              </w:rPr>
              <w:t>качеството, приобщаващия характер, ефективността и съответствието на системите за образование и обучение с</w:t>
            </w:r>
            <w:r w:rsidRPr="00236F76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236F76">
              <w:rPr>
                <w:rFonts w:ascii="Times New Roman" w:hAnsi="Times New Roman" w:cs="Times New Roman"/>
                <w:lang w:eastAsia="bg-BG"/>
              </w:rPr>
              <w:t>нуждите на пазара на труда, включително чрез валидиране на неформалното и самостоятелното учене, така че да допринасят за</w:t>
            </w:r>
            <w:r w:rsidRPr="00236F76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236F76">
              <w:rPr>
                <w:rFonts w:ascii="Times New Roman" w:hAnsi="Times New Roman" w:cs="Times New Roman"/>
                <w:lang w:eastAsia="bg-BG"/>
              </w:rPr>
              <w:t>придобиването на ключови компетентности, в т.ч.</w:t>
            </w:r>
            <w:r w:rsidRPr="00236F76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236F76">
              <w:rPr>
                <w:rFonts w:ascii="Times New Roman" w:hAnsi="Times New Roman" w:cs="Times New Roman"/>
                <w:lang w:eastAsia="bg-BG"/>
              </w:rPr>
              <w:t>предприемачески и цифрови умения също и чрез насърчаване на</w:t>
            </w:r>
            <w:r w:rsidRPr="00236F76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236F76">
              <w:rPr>
                <w:rFonts w:ascii="Times New Roman" w:hAnsi="Times New Roman" w:cs="Times New Roman"/>
                <w:lang w:eastAsia="bg-BG"/>
              </w:rPr>
              <w:t>въвеждането на дуални системи на обучение и чиракуване</w:t>
            </w:r>
            <w:r w:rsidRPr="00236F76">
              <w:rPr>
                <w:rFonts w:ascii="Times New Roman" w:hAnsi="Times New Roman" w:cs="Times New Roman"/>
                <w:lang w:val="en-US" w:eastAsia="bg-BG"/>
              </w:rPr>
              <w:t xml:space="preserve">. </w:t>
            </w:r>
          </w:p>
        </w:tc>
      </w:tr>
      <w:tr w:rsidR="008E6EBB" w:rsidRPr="00236F76" w14:paraId="3DCAE077" w14:textId="77777777" w:rsidTr="002103DD">
        <w:tc>
          <w:tcPr>
            <w:tcW w:w="4531" w:type="dxa"/>
          </w:tcPr>
          <w:p w14:paraId="656A2854" w14:textId="77777777" w:rsidR="008E6EBB" w:rsidRPr="00236F76" w:rsidRDefault="008E6EBB" w:rsidP="00A525D5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lastRenderedPageBreak/>
              <w:t>Показател, който води до възстановяване на разходите</w:t>
            </w:r>
          </w:p>
        </w:tc>
        <w:tc>
          <w:tcPr>
            <w:tcW w:w="4531" w:type="dxa"/>
          </w:tcPr>
          <w:p w14:paraId="4AB0F05B" w14:textId="6FCD21CE" w:rsidR="003665EF" w:rsidRDefault="00502A81" w:rsidP="005C5F0C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Продължаваща методическа подкрепа</w:t>
            </w:r>
          </w:p>
          <w:p w14:paraId="05057C9C" w14:textId="48785064" w:rsidR="0071282D" w:rsidRPr="003665EF" w:rsidRDefault="003665EF" w:rsidP="005C5F0C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Разработен и изпълнен МПРКК</w:t>
            </w:r>
          </w:p>
          <w:p w14:paraId="4C178A9D" w14:textId="77048F97" w:rsidR="005C5F0C" w:rsidRPr="00236F76" w:rsidRDefault="009C7F9A" w:rsidP="005C5F0C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Създаден интелектуален продукт</w:t>
            </w:r>
          </w:p>
          <w:p w14:paraId="16405A0A" w14:textId="591D810A" w:rsidR="008E6EBB" w:rsidRPr="00236F76" w:rsidRDefault="009C7F9A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Проведено </w:t>
            </w:r>
            <w:r w:rsidR="005C5F0C" w:rsidRPr="00236F76">
              <w:rPr>
                <w:rFonts w:ascii="Times New Roman" w:hAnsi="Times New Roman" w:cs="Times New Roman"/>
              </w:rPr>
              <w:t>обучение</w:t>
            </w:r>
          </w:p>
        </w:tc>
      </w:tr>
      <w:tr w:rsidR="008E6EBB" w:rsidRPr="00236F76" w14:paraId="6BB375D4" w14:textId="77777777" w:rsidTr="002103DD">
        <w:tc>
          <w:tcPr>
            <w:tcW w:w="4531" w:type="dxa"/>
          </w:tcPr>
          <w:p w14:paraId="2B11FCDD" w14:textId="77777777" w:rsidR="008E6EBB" w:rsidRPr="00236F76" w:rsidRDefault="008E6EBB" w:rsidP="008B1880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Мерна единица за показателя, който води до възстановяване на разходите</w:t>
            </w:r>
          </w:p>
        </w:tc>
        <w:tc>
          <w:tcPr>
            <w:tcW w:w="4531" w:type="dxa"/>
          </w:tcPr>
          <w:p w14:paraId="528CA0B3" w14:textId="77777777" w:rsidR="00AA6F48" w:rsidRDefault="00AA6F48" w:rsidP="00AA6F4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изпълнени МПРКК</w:t>
            </w:r>
          </w:p>
          <w:p w14:paraId="6C1E76A2" w14:textId="453D73DC" w:rsidR="008E6EBB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 xml:space="preserve">Брой </w:t>
            </w:r>
            <w:r w:rsidR="00C67FEA">
              <w:rPr>
                <w:rFonts w:ascii="Times New Roman" w:hAnsi="Times New Roman" w:cs="Times New Roman"/>
              </w:rPr>
              <w:t>интелектуални продукти</w:t>
            </w:r>
          </w:p>
          <w:p w14:paraId="5CF0CB85" w14:textId="3DA72C73" w:rsidR="0001323E" w:rsidRPr="00236F76" w:rsidRDefault="0001323E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отработени часове</w:t>
            </w:r>
          </w:p>
          <w:p w14:paraId="67BA2893" w14:textId="56B9F479" w:rsidR="008E6EBB" w:rsidRPr="00236F76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 xml:space="preserve">Брой </w:t>
            </w:r>
            <w:r w:rsidR="00D30E9C">
              <w:rPr>
                <w:rFonts w:ascii="Times New Roman" w:hAnsi="Times New Roman" w:cs="Times New Roman"/>
              </w:rPr>
              <w:t>обучени лица</w:t>
            </w:r>
          </w:p>
        </w:tc>
      </w:tr>
      <w:tr w:rsidR="008E6EBB" w:rsidRPr="00236F76" w14:paraId="3A802BA4" w14:textId="77777777" w:rsidTr="002103DD">
        <w:tc>
          <w:tcPr>
            <w:tcW w:w="4531" w:type="dxa"/>
          </w:tcPr>
          <w:p w14:paraId="09FF563E" w14:textId="344A04DC" w:rsidR="008E6EBB" w:rsidRPr="00236F76" w:rsidRDefault="008E6EBB" w:rsidP="00F512E3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Стандартна таблица на единичните разходи, еднократни суми или единни ставки</w:t>
            </w:r>
          </w:p>
        </w:tc>
        <w:tc>
          <w:tcPr>
            <w:tcW w:w="4531" w:type="dxa"/>
          </w:tcPr>
          <w:p w14:paraId="239C33E9" w14:textId="62481DD0" w:rsidR="008E6EBB" w:rsidRPr="00236F76" w:rsidRDefault="0097432D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 ТЕРЕС-КМ</w:t>
            </w:r>
          </w:p>
        </w:tc>
      </w:tr>
      <w:tr w:rsidR="008E6EBB" w:rsidRPr="00236F76" w14:paraId="432A6ED9" w14:textId="77777777" w:rsidTr="002103DD">
        <w:tc>
          <w:tcPr>
            <w:tcW w:w="4531" w:type="dxa"/>
          </w:tcPr>
          <w:p w14:paraId="6216FCAE" w14:textId="77777777" w:rsidR="008E6EBB" w:rsidRPr="00236F76" w:rsidRDefault="008E6EBB" w:rsidP="00F512E3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Сума по видове мерни единица или по процент (за единни ставки) от ОВР</w:t>
            </w:r>
          </w:p>
        </w:tc>
        <w:tc>
          <w:tcPr>
            <w:tcW w:w="4531" w:type="dxa"/>
          </w:tcPr>
          <w:p w14:paraId="7E51AEE3" w14:textId="1BFEF648" w:rsidR="00141D96" w:rsidRDefault="00A7616B" w:rsidP="00141D96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Единични разходи за възнаграждения</w:t>
            </w:r>
          </w:p>
          <w:p w14:paraId="2EAB78C5" w14:textId="5AEF76AC" w:rsidR="008E6EBB" w:rsidRDefault="00564494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Единични разходи за </w:t>
            </w:r>
            <w:r w:rsidR="00287B45">
              <w:rPr>
                <w:rFonts w:ascii="Times New Roman" w:hAnsi="Times New Roman" w:cs="Times New Roman"/>
              </w:rPr>
              <w:t xml:space="preserve">създадени крайни </w:t>
            </w:r>
            <w:r w:rsidR="002F01A2">
              <w:rPr>
                <w:rFonts w:ascii="Times New Roman" w:hAnsi="Times New Roman" w:cs="Times New Roman"/>
              </w:rPr>
              <w:t xml:space="preserve"> продукти</w:t>
            </w:r>
          </w:p>
          <w:p w14:paraId="7F3A238F" w14:textId="32FCA583" w:rsidR="00E35526" w:rsidRDefault="00E35526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Единични разходи за </w:t>
            </w:r>
            <w:r w:rsidR="00274E3D">
              <w:rPr>
                <w:rFonts w:ascii="Times New Roman" w:hAnsi="Times New Roman" w:cs="Times New Roman"/>
              </w:rPr>
              <w:t>проведени обучения</w:t>
            </w:r>
          </w:p>
          <w:p w14:paraId="6E24045B" w14:textId="2B60AB56" w:rsidR="008239DB" w:rsidRDefault="008239D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Единични разходи за </w:t>
            </w:r>
            <w:r w:rsidR="00616EA9">
              <w:rPr>
                <w:rFonts w:ascii="Times New Roman" w:hAnsi="Times New Roman" w:cs="Times New Roman"/>
              </w:rPr>
              <w:t>надбавки на участниците</w:t>
            </w:r>
          </w:p>
          <w:p w14:paraId="26E891B4" w14:textId="7EE41ACB" w:rsidR="009727E9" w:rsidRPr="00B014D6" w:rsidRDefault="005034F4" w:rsidP="002103DD">
            <w:pPr>
              <w:spacing w:before="60" w:after="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Единна ставка 40 %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съгласно </w:t>
            </w:r>
            <w:r w:rsidRPr="5E51AA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чл. 56, параграф 1 от Регламент (ЕС) 2021/1060</w:t>
            </w:r>
          </w:p>
        </w:tc>
      </w:tr>
      <w:tr w:rsidR="008E6EBB" w:rsidRPr="00236F76" w14:paraId="51A825B6" w14:textId="77777777" w:rsidTr="002103DD">
        <w:tc>
          <w:tcPr>
            <w:tcW w:w="4531" w:type="dxa"/>
          </w:tcPr>
          <w:p w14:paraId="4DEB471C" w14:textId="77777777" w:rsidR="008E6EBB" w:rsidRPr="00236F76" w:rsidRDefault="008E6EBB" w:rsidP="00F512E3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Категории разходи, обхванати от единични разходи, еднократни суми или единни ставки</w:t>
            </w:r>
          </w:p>
        </w:tc>
        <w:tc>
          <w:tcPr>
            <w:tcW w:w="4531" w:type="dxa"/>
          </w:tcPr>
          <w:p w14:paraId="6F1E1FE3" w14:textId="77777777" w:rsidR="00312DF8" w:rsidRDefault="004E43EE" w:rsidP="00312DF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Разходи за възнаграждения на персонал, които се предоставят като единичн</w:t>
            </w:r>
            <w:r w:rsidR="00312DF8">
              <w:rPr>
                <w:rFonts w:ascii="Times New Roman" w:hAnsi="Times New Roman" w:cs="Times New Roman"/>
              </w:rPr>
              <w:t>и</w:t>
            </w:r>
            <w:r w:rsidRPr="00236F76">
              <w:rPr>
                <w:rFonts w:ascii="Times New Roman" w:hAnsi="Times New Roman" w:cs="Times New Roman"/>
              </w:rPr>
              <w:t xml:space="preserve"> разход</w:t>
            </w:r>
            <w:r w:rsidR="00312DF8">
              <w:rPr>
                <w:rFonts w:ascii="Times New Roman" w:hAnsi="Times New Roman" w:cs="Times New Roman"/>
              </w:rPr>
              <w:t>и</w:t>
            </w:r>
          </w:p>
          <w:p w14:paraId="09554F27" w14:textId="4E75C699" w:rsidR="00DA371D" w:rsidRDefault="00DA371D" w:rsidP="00312DF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 преки и непреки разходи</w:t>
            </w:r>
            <w:r w:rsidR="0032309C">
              <w:rPr>
                <w:rFonts w:ascii="Times New Roman" w:hAnsi="Times New Roman" w:cs="Times New Roman"/>
              </w:rPr>
              <w:t>, които се предоставят чрез единна ставка от 40 %</w:t>
            </w:r>
          </w:p>
          <w:p w14:paraId="5613D390" w14:textId="30238028" w:rsidR="0032309C" w:rsidRPr="00236F76" w:rsidRDefault="00DC6527" w:rsidP="00312DF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Разходи за обучения, които се предоставят като е</w:t>
            </w:r>
            <w:r w:rsidR="004E43EE" w:rsidRPr="00236F76">
              <w:rPr>
                <w:rFonts w:ascii="Times New Roman" w:hAnsi="Times New Roman" w:cs="Times New Roman"/>
              </w:rPr>
              <w:t>диничен разход за един обучаем</w:t>
            </w:r>
            <w:r w:rsidR="009F423C">
              <w:rPr>
                <w:rFonts w:ascii="Times New Roman" w:hAnsi="Times New Roman" w:cs="Times New Roman"/>
              </w:rPr>
              <w:t>, който е изчислен съгласно чл. 5</w:t>
            </w:r>
            <w:r w:rsidR="004F09CC">
              <w:rPr>
                <w:rFonts w:ascii="Times New Roman" w:hAnsi="Times New Roman" w:cs="Times New Roman"/>
              </w:rPr>
              <w:t>6 от РОР.</w:t>
            </w:r>
          </w:p>
        </w:tc>
      </w:tr>
      <w:tr w:rsidR="008E6EBB" w:rsidRPr="00236F76" w14:paraId="5B025A2C" w14:textId="77777777" w:rsidTr="002103DD">
        <w:tc>
          <w:tcPr>
            <w:tcW w:w="4531" w:type="dxa"/>
          </w:tcPr>
          <w:p w14:paraId="3ABB8E42" w14:textId="77777777" w:rsidR="008E6EBB" w:rsidRPr="00236F76" w:rsidRDefault="008E6EBB" w:rsidP="00F512E3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Тези категории разходи покриват ли всички допустими разходи за операцията? ДА/НЕ</w:t>
            </w:r>
          </w:p>
        </w:tc>
        <w:tc>
          <w:tcPr>
            <w:tcW w:w="4531" w:type="dxa"/>
          </w:tcPr>
          <w:p w14:paraId="484D5D55" w14:textId="50679E22" w:rsidR="008E6EBB" w:rsidRPr="00236F76" w:rsidRDefault="008F05BE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Да</w:t>
            </w:r>
            <w:r w:rsidR="008E6EBB" w:rsidRPr="00236F76">
              <w:rPr>
                <w:rFonts w:ascii="Times New Roman" w:hAnsi="Times New Roman" w:cs="Times New Roman"/>
              </w:rPr>
              <w:t>.</w:t>
            </w:r>
          </w:p>
        </w:tc>
      </w:tr>
      <w:tr w:rsidR="008E6EBB" w:rsidRPr="00236F76" w14:paraId="0899AB31" w14:textId="77777777" w:rsidTr="002103DD">
        <w:tc>
          <w:tcPr>
            <w:tcW w:w="4531" w:type="dxa"/>
          </w:tcPr>
          <w:p w14:paraId="044A3117" w14:textId="77777777" w:rsidR="008E6EBB" w:rsidRPr="00236F76" w:rsidRDefault="008E6EBB" w:rsidP="00F512E3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Метод за корекция</w:t>
            </w:r>
          </w:p>
        </w:tc>
        <w:tc>
          <w:tcPr>
            <w:tcW w:w="4531" w:type="dxa"/>
          </w:tcPr>
          <w:p w14:paraId="4699157D" w14:textId="77777777" w:rsidR="008E6EBB" w:rsidRDefault="00007836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 xml:space="preserve">Периодично актуализиране на разходите, съобразно публикувани нови статистически данни на НСИ или Евростат, осигуряващ прилагането на коректен, справедлив и проверим метод на изчисление. </w:t>
            </w:r>
          </w:p>
          <w:p w14:paraId="2D49F06F" w14:textId="74AAE94E" w:rsidR="00BA3205" w:rsidRPr="00236F76" w:rsidRDefault="009D37D1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промяна на нормативн</w:t>
            </w:r>
            <w:r w:rsidR="00C82660">
              <w:rPr>
                <w:rFonts w:ascii="Times New Roman" w:hAnsi="Times New Roman" w:cs="Times New Roman"/>
              </w:rPr>
              <w:t>ата уредба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="00F930A7" w:rsidRPr="00F930A7">
              <w:rPr>
                <w:rFonts w:ascii="Times New Roman" w:hAnsi="Times New Roman" w:cs="Times New Roman"/>
              </w:rPr>
              <w:t>единични</w:t>
            </w:r>
            <w:r w:rsidR="001855BB">
              <w:rPr>
                <w:rFonts w:ascii="Times New Roman" w:hAnsi="Times New Roman" w:cs="Times New Roman"/>
              </w:rPr>
              <w:t>те</w:t>
            </w:r>
            <w:r w:rsidR="00F930A7" w:rsidRPr="00F930A7">
              <w:rPr>
                <w:rFonts w:ascii="Times New Roman" w:hAnsi="Times New Roman" w:cs="Times New Roman"/>
              </w:rPr>
              <w:t xml:space="preserve"> разходи, </w:t>
            </w:r>
            <w:r w:rsidR="0081302F" w:rsidRPr="0081302F">
              <w:rPr>
                <w:rFonts w:ascii="Times New Roman" w:hAnsi="Times New Roman" w:cs="Times New Roman"/>
              </w:rPr>
              <w:t>съгласно Решение на Европейската комисия С(2021)35</w:t>
            </w:r>
          </w:p>
        </w:tc>
      </w:tr>
      <w:tr w:rsidR="008E6EBB" w:rsidRPr="00236F76" w14:paraId="5FB60E56" w14:textId="77777777" w:rsidTr="002103DD">
        <w:tc>
          <w:tcPr>
            <w:tcW w:w="4531" w:type="dxa"/>
          </w:tcPr>
          <w:p w14:paraId="0A493A9D" w14:textId="77777777" w:rsidR="008E6EBB" w:rsidRPr="00236F76" w:rsidRDefault="008E6EBB" w:rsidP="00C87AE2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 xml:space="preserve">Проверка на достигането на единиците - Опишете какви документи/система ще бъдат използвани, за да се провери, че реализираните единици са достигнати? – опишете какво и от кого ще бъде проверявано по време на проверките на управлението – опишете какви мерки ще </w:t>
            </w:r>
            <w:r w:rsidRPr="00236F76">
              <w:rPr>
                <w:rFonts w:ascii="Times New Roman" w:hAnsi="Times New Roman" w:cs="Times New Roman"/>
              </w:rPr>
              <w:lastRenderedPageBreak/>
              <w:t>бъдат предприети за събиране и съхраняване на съответните данни/документи</w:t>
            </w:r>
          </w:p>
        </w:tc>
        <w:tc>
          <w:tcPr>
            <w:tcW w:w="4531" w:type="dxa"/>
          </w:tcPr>
          <w:p w14:paraId="5245ED86" w14:textId="7BAB1ECB" w:rsidR="008E6EBB" w:rsidRPr="00236F76" w:rsidRDefault="00065BA0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Документите са описан в Условия за възстановяване на разходите</w:t>
            </w:r>
          </w:p>
        </w:tc>
      </w:tr>
      <w:tr w:rsidR="008E6EBB" w:rsidRPr="00236F76" w14:paraId="1E434E52" w14:textId="77777777" w:rsidTr="002103DD">
        <w:tc>
          <w:tcPr>
            <w:tcW w:w="4531" w:type="dxa"/>
          </w:tcPr>
          <w:p w14:paraId="6650DF38" w14:textId="77777777" w:rsidR="008E6EBB" w:rsidRPr="00236F76" w:rsidRDefault="008E6EBB" w:rsidP="00C87AE2">
            <w:pPr>
              <w:spacing w:before="60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>Възможни погрешни стимули, смекчаващи мерки и очакваното ниво на риск (високо/средно/ниско)</w:t>
            </w:r>
          </w:p>
        </w:tc>
        <w:tc>
          <w:tcPr>
            <w:tcW w:w="4531" w:type="dxa"/>
          </w:tcPr>
          <w:p w14:paraId="4790495A" w14:textId="77777777" w:rsidR="008E6EBB" w:rsidRPr="00C933CB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236F76">
              <w:rPr>
                <w:rFonts w:ascii="Times New Roman" w:hAnsi="Times New Roman" w:cs="Times New Roman"/>
              </w:rPr>
              <w:t xml:space="preserve">Възможен риск: </w:t>
            </w:r>
            <w:r w:rsidRPr="00C933CB">
              <w:rPr>
                <w:rFonts w:ascii="Times New Roman" w:hAnsi="Times New Roman" w:cs="Times New Roman"/>
              </w:rPr>
              <w:t xml:space="preserve">Ниско качество на извършената работа. </w:t>
            </w:r>
          </w:p>
          <w:p w14:paraId="055ACBA7" w14:textId="77777777" w:rsidR="008E6EBB" w:rsidRPr="00C933CB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933CB">
              <w:rPr>
                <w:rFonts w:ascii="Times New Roman" w:hAnsi="Times New Roman" w:cs="Times New Roman"/>
              </w:rPr>
              <w:t xml:space="preserve">Очаквано ниво на риск: Ниско </w:t>
            </w:r>
          </w:p>
          <w:p w14:paraId="074383DD" w14:textId="77777777" w:rsidR="008E6EBB" w:rsidRPr="00C933CB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933CB">
              <w:rPr>
                <w:rFonts w:ascii="Times New Roman" w:hAnsi="Times New Roman" w:cs="Times New Roman"/>
              </w:rPr>
              <w:t>Мерки за намаляване на риска: Извършване на проверки на място от страна на УО, за да:</w:t>
            </w:r>
          </w:p>
          <w:p w14:paraId="44265F9F" w14:textId="6C5AC851" w:rsidR="008E6EBB" w:rsidRPr="00C933CB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933CB">
              <w:rPr>
                <w:rFonts w:ascii="Times New Roman" w:hAnsi="Times New Roman" w:cs="Times New Roman"/>
              </w:rPr>
              <w:t xml:space="preserve">- се провери и удостовери изпълнението на извършените дейности от участниците в проекта, получили възнаграждение чрез единични разходи, както и наличието на конкретен резултат от извършената дейност; </w:t>
            </w:r>
          </w:p>
          <w:p w14:paraId="0F2F224B" w14:textId="77777777" w:rsidR="008E6EBB" w:rsidRPr="00236F76" w:rsidRDefault="008E6EBB" w:rsidP="002103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933CB">
              <w:rPr>
                <w:rFonts w:ascii="Times New Roman" w:hAnsi="Times New Roman" w:cs="Times New Roman"/>
              </w:rPr>
              <w:t>- да се осигури наблюдение от страна на УО през периода на изпълнение на проекта, което ще се документира в контролен лист за извършените проверки на място.</w:t>
            </w:r>
          </w:p>
        </w:tc>
      </w:tr>
    </w:tbl>
    <w:p w14:paraId="765EDABA" w14:textId="77777777" w:rsidR="002011D7" w:rsidRPr="009F251A" w:rsidRDefault="002011D7" w:rsidP="003C2D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21CDB5" w14:textId="77777777" w:rsidR="003C2D5F" w:rsidRPr="009F251A" w:rsidRDefault="003C2D5F" w:rsidP="003C2D5F">
      <w:pPr>
        <w:pStyle w:val="Style1"/>
      </w:pPr>
      <w:bookmarkStart w:id="11" w:name="_Toc121409010"/>
      <w:bookmarkStart w:id="12" w:name="_Toc121493489"/>
      <w:r w:rsidRPr="009F251A">
        <w:t>Приложения:</w:t>
      </w:r>
      <w:bookmarkEnd w:id="11"/>
      <w:bookmarkEnd w:id="12"/>
    </w:p>
    <w:p w14:paraId="68DD86AC" w14:textId="77777777" w:rsidR="003C2D5F" w:rsidRDefault="003C2D5F" w:rsidP="003C2D5F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584603C" w14:textId="6975B0A5" w:rsidR="003C2D5F" w:rsidRPr="00933F09" w:rsidRDefault="003C2D5F" w:rsidP="003C2D5F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F251A">
        <w:rPr>
          <w:rFonts w:ascii="Times New Roman" w:hAnsi="Times New Roman"/>
          <w:i/>
          <w:iCs/>
          <w:sz w:val="24"/>
          <w:szCs w:val="24"/>
        </w:rPr>
        <w:t xml:space="preserve">Таблици с изчислителни формули – файл </w:t>
      </w:r>
      <w:r w:rsidR="008C5ABC">
        <w:rPr>
          <w:rFonts w:ascii="Times New Roman" w:hAnsi="Times New Roman"/>
          <w:i/>
          <w:iCs/>
          <w:sz w:val="24"/>
          <w:szCs w:val="24"/>
        </w:rPr>
        <w:t>2.001-</w:t>
      </w:r>
      <w:r w:rsidRPr="009F251A">
        <w:rPr>
          <w:rFonts w:ascii="Times New Roman" w:hAnsi="Times New Roman"/>
          <w:i/>
          <w:iCs/>
          <w:sz w:val="24"/>
          <w:szCs w:val="24"/>
        </w:rPr>
        <w:t>Актуализиране-</w:t>
      </w:r>
      <w:r>
        <w:rPr>
          <w:rFonts w:ascii="Times New Roman" w:hAnsi="Times New Roman"/>
          <w:i/>
          <w:iCs/>
          <w:sz w:val="24"/>
          <w:szCs w:val="24"/>
        </w:rPr>
        <w:t>КМ</w:t>
      </w:r>
      <w:r w:rsidRPr="009F251A">
        <w:rPr>
          <w:rFonts w:ascii="Times New Roman" w:hAnsi="Times New Roman"/>
          <w:i/>
          <w:iCs/>
          <w:sz w:val="24"/>
          <w:szCs w:val="24"/>
        </w:rPr>
        <w:t>.</w:t>
      </w:r>
      <w:r w:rsidRPr="009F251A">
        <w:rPr>
          <w:rFonts w:ascii="Times New Roman" w:hAnsi="Times New Roman"/>
          <w:i/>
          <w:iCs/>
          <w:sz w:val="24"/>
          <w:szCs w:val="24"/>
          <w:lang w:val="en-US"/>
        </w:rPr>
        <w:t>xls</w:t>
      </w:r>
    </w:p>
    <w:p w14:paraId="514EDA16" w14:textId="1D9D727A" w:rsidR="003C2D5F" w:rsidRPr="00C4365A" w:rsidRDefault="003C2D5F" w:rsidP="00C4365A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Кореспонденция с Конкретния бенефициент МОН – файл Писма.</w:t>
      </w:r>
      <w:r w:rsidRPr="009F251A">
        <w:rPr>
          <w:rFonts w:ascii="Times New Roman" w:hAnsi="Times New Roman"/>
          <w:i/>
          <w:iCs/>
          <w:sz w:val="24"/>
          <w:szCs w:val="24"/>
          <w:lang w:val="en-US"/>
        </w:rPr>
        <w:t>rar</w:t>
      </w:r>
    </w:p>
    <w:sectPr w:rsidR="003C2D5F" w:rsidRPr="00C436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92F6" w14:textId="77777777" w:rsidR="003242B9" w:rsidRDefault="003242B9" w:rsidP="00191F55">
      <w:pPr>
        <w:spacing w:after="0" w:line="240" w:lineRule="auto"/>
      </w:pPr>
      <w:r>
        <w:separator/>
      </w:r>
    </w:p>
  </w:endnote>
  <w:endnote w:type="continuationSeparator" w:id="0">
    <w:p w14:paraId="41827005" w14:textId="77777777" w:rsidR="003242B9" w:rsidRDefault="003242B9" w:rsidP="00191F55">
      <w:pPr>
        <w:spacing w:after="0" w:line="240" w:lineRule="auto"/>
      </w:pPr>
      <w:r>
        <w:continuationSeparator/>
      </w:r>
    </w:p>
  </w:endnote>
  <w:endnote w:type="continuationNotice" w:id="1">
    <w:p w14:paraId="3E9BF293" w14:textId="77777777" w:rsidR="003242B9" w:rsidRDefault="003242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35A42" w14:textId="77777777" w:rsidR="00FC53E8" w:rsidRDefault="00FC53E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0DDC">
      <w:rPr>
        <w:noProof/>
      </w:rPr>
      <w:t>30</w:t>
    </w:r>
    <w:r>
      <w:rPr>
        <w:noProof/>
      </w:rPr>
      <w:fldChar w:fldCharType="end"/>
    </w:r>
  </w:p>
  <w:p w14:paraId="31DA53F2" w14:textId="77777777" w:rsidR="00FC53E8" w:rsidRDefault="00FC5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828B" w14:textId="77777777" w:rsidR="003242B9" w:rsidRDefault="003242B9" w:rsidP="00191F55">
      <w:pPr>
        <w:spacing w:after="0" w:line="240" w:lineRule="auto"/>
      </w:pPr>
      <w:r>
        <w:separator/>
      </w:r>
    </w:p>
  </w:footnote>
  <w:footnote w:type="continuationSeparator" w:id="0">
    <w:p w14:paraId="53FD42AA" w14:textId="77777777" w:rsidR="003242B9" w:rsidRDefault="003242B9" w:rsidP="00191F55">
      <w:pPr>
        <w:spacing w:after="0" w:line="240" w:lineRule="auto"/>
      </w:pPr>
      <w:r>
        <w:continuationSeparator/>
      </w:r>
    </w:p>
  </w:footnote>
  <w:footnote w:type="continuationNotice" w:id="1">
    <w:p w14:paraId="5378C6CB" w14:textId="77777777" w:rsidR="003242B9" w:rsidRDefault="003242B9">
      <w:pPr>
        <w:spacing w:after="0" w:line="240" w:lineRule="auto"/>
      </w:pPr>
    </w:p>
  </w:footnote>
  <w:footnote w:id="2">
    <w:p w14:paraId="7676A240" w14:textId="5F0A6E26" w:rsidR="005327E4" w:rsidRDefault="005327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4D4398">
          <w:rPr>
            <w:rStyle w:val="Hyperlink"/>
          </w:rPr>
          <w:t>https://commission.europa.eu/funding-tenders/procedures-guidelines-tenders/information-contractors-and-beneficiaries/calculate-unit-costs-eligible-travel-costs_en</w:t>
        </w:r>
      </w:hyperlink>
      <w:r>
        <w:t xml:space="preserve"> </w:t>
      </w:r>
    </w:p>
  </w:footnote>
  <w:footnote w:id="3">
    <w:p w14:paraId="647C4A79" w14:textId="21666251" w:rsidR="00B667EF" w:rsidRDefault="00B667EF" w:rsidP="003E287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667EF">
        <w:t xml:space="preserve">Актуализирането </w:t>
      </w:r>
      <w:r w:rsidR="00945DD3">
        <w:t xml:space="preserve">на </w:t>
      </w:r>
      <w:r w:rsidR="00BC5DC5" w:rsidRPr="00BC5DC5">
        <w:t xml:space="preserve">единичен разход 3.29 от ТЕРЕС-ПО </w:t>
      </w:r>
      <w:r w:rsidRPr="00B667EF">
        <w:t>се извършва въз основа на индекса на разходите за труд в област „Образование“,</w:t>
      </w:r>
      <w:r w:rsidR="003E2878">
        <w:t xml:space="preserve"> </w:t>
      </w:r>
      <w:r w:rsidRPr="00B667EF">
        <w:t xml:space="preserve">публикувани от Евростат. Както е посочено и в приложение </w:t>
      </w:r>
      <w:r w:rsidR="003E2878">
        <w:t>2</w:t>
      </w:r>
      <w:r w:rsidRPr="00B667EF">
        <w:t>.00</w:t>
      </w:r>
      <w:r w:rsidR="003E2878">
        <w:t>1</w:t>
      </w:r>
      <w:r w:rsidRPr="00B667EF">
        <w:t>-Актуализиране-</w:t>
      </w:r>
      <w:r w:rsidR="00E7650C">
        <w:t>КМ</w:t>
      </w:r>
      <w:r w:rsidRPr="00B667EF">
        <w:t xml:space="preserve">, за последните 2 години </w:t>
      </w:r>
      <w:r w:rsidR="00BC5DC5">
        <w:t>–</w:t>
      </w:r>
      <w:r w:rsidRPr="00B667EF">
        <w:t xml:space="preserve"> 2023 и 2024, годишният индекс е над 15 %, а съгласно Анекс № Д01-30/31.03.2025 г. към Колективния трудов договор за системата на предучилищното и училищното образование заплатите се увеличават средно с 15 %, считано от 01.03.2025 г.</w:t>
      </w:r>
      <w:r w:rsidR="00544D17">
        <w:t>,</w:t>
      </w:r>
      <w:r w:rsidR="00544D17" w:rsidRPr="00544D17">
        <w:t xml:space="preserve"> поради което може да се очаква, че индексът на разходите за труд в сектор „Образование“ за 2025 г. ще бъде поне 15 %.</w:t>
      </w:r>
    </w:p>
  </w:footnote>
  <w:footnote w:id="4">
    <w:p w14:paraId="3B0023E2" w14:textId="21019589" w:rsidR="007722E7" w:rsidRPr="002758E6" w:rsidRDefault="007722E7" w:rsidP="002758E6">
      <w:pPr>
        <w:pStyle w:val="Defaul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="002758E6" w:rsidRPr="00801FE5">
          <w:rPr>
            <w:rStyle w:val="Hyperlink"/>
            <w:sz w:val="18"/>
            <w:szCs w:val="18"/>
            <w:lang w:eastAsia="bg-BG"/>
          </w:rPr>
          <w:t>Commission Decision of 12 January 2021 authorising the use of unit costs for travel, accommodation and subsistence costs under an action or work programme under the 2021-2027 multi-annual financial framework (C(2021)35).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CD5B4" w14:textId="1A124D76" w:rsidR="00BD1412" w:rsidRPr="00BD1412" w:rsidRDefault="00097B68" w:rsidP="00097B68">
    <w:pPr>
      <w:pStyle w:val="Head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6DCB7871" wp14:editId="3DD3E8B2">
          <wp:extent cx="5377218" cy="536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7859" cy="5366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0E65"/>
    <w:multiLevelType w:val="hybridMultilevel"/>
    <w:tmpl w:val="8F10F478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A0FAE"/>
    <w:multiLevelType w:val="multilevel"/>
    <w:tmpl w:val="5BE83A4C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B9CAF13"/>
    <w:multiLevelType w:val="hybridMultilevel"/>
    <w:tmpl w:val="E5D4AE46"/>
    <w:lvl w:ilvl="0" w:tplc="1DD49F5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C466F8DE">
      <w:start w:val="1"/>
      <w:numFmt w:val="lowerLetter"/>
      <w:lvlText w:val="%2."/>
      <w:lvlJc w:val="left"/>
      <w:pPr>
        <w:ind w:left="1440" w:hanging="360"/>
      </w:pPr>
    </w:lvl>
    <w:lvl w:ilvl="2" w:tplc="038A3FD8">
      <w:start w:val="1"/>
      <w:numFmt w:val="lowerRoman"/>
      <w:lvlText w:val="%3."/>
      <w:lvlJc w:val="right"/>
      <w:pPr>
        <w:ind w:left="2160" w:hanging="180"/>
      </w:pPr>
    </w:lvl>
    <w:lvl w:ilvl="3" w:tplc="BAB8A0DC">
      <w:start w:val="1"/>
      <w:numFmt w:val="decimal"/>
      <w:lvlText w:val="%4."/>
      <w:lvlJc w:val="left"/>
      <w:pPr>
        <w:ind w:left="2880" w:hanging="360"/>
      </w:pPr>
    </w:lvl>
    <w:lvl w:ilvl="4" w:tplc="B3AEB1A8">
      <w:start w:val="1"/>
      <w:numFmt w:val="lowerLetter"/>
      <w:lvlText w:val="%5."/>
      <w:lvlJc w:val="left"/>
      <w:pPr>
        <w:ind w:left="3600" w:hanging="360"/>
      </w:pPr>
    </w:lvl>
    <w:lvl w:ilvl="5" w:tplc="EB5A5ED2">
      <w:start w:val="1"/>
      <w:numFmt w:val="lowerRoman"/>
      <w:lvlText w:val="%6."/>
      <w:lvlJc w:val="right"/>
      <w:pPr>
        <w:ind w:left="4320" w:hanging="180"/>
      </w:pPr>
    </w:lvl>
    <w:lvl w:ilvl="6" w:tplc="0152FAC0">
      <w:start w:val="1"/>
      <w:numFmt w:val="decimal"/>
      <w:lvlText w:val="%7."/>
      <w:lvlJc w:val="left"/>
      <w:pPr>
        <w:ind w:left="5040" w:hanging="360"/>
      </w:pPr>
    </w:lvl>
    <w:lvl w:ilvl="7" w:tplc="2D22E7EA">
      <w:start w:val="1"/>
      <w:numFmt w:val="lowerLetter"/>
      <w:lvlText w:val="%8."/>
      <w:lvlJc w:val="left"/>
      <w:pPr>
        <w:ind w:left="5760" w:hanging="360"/>
      </w:pPr>
    </w:lvl>
    <w:lvl w:ilvl="8" w:tplc="8FA4FB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03B3"/>
    <w:multiLevelType w:val="hybridMultilevel"/>
    <w:tmpl w:val="56F67152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362952"/>
    <w:multiLevelType w:val="hybridMultilevel"/>
    <w:tmpl w:val="65D2AD34"/>
    <w:lvl w:ilvl="0" w:tplc="397E29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DB756C"/>
    <w:multiLevelType w:val="hybridMultilevel"/>
    <w:tmpl w:val="AA504D40"/>
    <w:lvl w:ilvl="0" w:tplc="ECDEB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6C7618"/>
    <w:multiLevelType w:val="hybridMultilevel"/>
    <w:tmpl w:val="E94243B4"/>
    <w:lvl w:ilvl="0" w:tplc="36A4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BEE5433"/>
    <w:multiLevelType w:val="hybridMultilevel"/>
    <w:tmpl w:val="D9E4A748"/>
    <w:lvl w:ilvl="0" w:tplc="04020011">
      <w:start w:val="1"/>
      <w:numFmt w:val="decimal"/>
      <w:lvlText w:val="%1)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3B576A"/>
    <w:multiLevelType w:val="hybridMultilevel"/>
    <w:tmpl w:val="2B2A3762"/>
    <w:lvl w:ilvl="0" w:tplc="F6A47516">
      <w:start w:val="7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3E32A6B"/>
    <w:multiLevelType w:val="hybridMultilevel"/>
    <w:tmpl w:val="3DC052B0"/>
    <w:lvl w:ilvl="0" w:tplc="892CD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B92BE9"/>
    <w:multiLevelType w:val="hybridMultilevel"/>
    <w:tmpl w:val="204EDB30"/>
    <w:lvl w:ilvl="0" w:tplc="ECDEB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DD54C7"/>
    <w:multiLevelType w:val="hybridMultilevel"/>
    <w:tmpl w:val="4D54E8EE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0FD4EC8"/>
    <w:multiLevelType w:val="multilevel"/>
    <w:tmpl w:val="D38417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4" w15:restartNumberingAfterBreak="0">
    <w:nsid w:val="57D25CDB"/>
    <w:multiLevelType w:val="hybridMultilevel"/>
    <w:tmpl w:val="02D64E86"/>
    <w:lvl w:ilvl="0" w:tplc="C1101786">
      <w:start w:val="1"/>
      <w:numFmt w:val="decimal"/>
      <w:pStyle w:val="Heading2"/>
      <w:lvlText w:val="2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4365A"/>
    <w:multiLevelType w:val="hybridMultilevel"/>
    <w:tmpl w:val="B88EB580"/>
    <w:lvl w:ilvl="0" w:tplc="2B0A6B0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C4A65"/>
    <w:multiLevelType w:val="hybridMultilevel"/>
    <w:tmpl w:val="7F58C12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4F1B71"/>
    <w:multiLevelType w:val="hybridMultilevel"/>
    <w:tmpl w:val="F73ED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7D056B"/>
    <w:multiLevelType w:val="hybridMultilevel"/>
    <w:tmpl w:val="7CDA4DA6"/>
    <w:lvl w:ilvl="0" w:tplc="2B0A6B0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727C679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DF4CFD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1C1D7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546309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58AFC7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7DA611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F24F5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DCCFB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9163BD0"/>
    <w:multiLevelType w:val="hybridMultilevel"/>
    <w:tmpl w:val="C5E0C21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B3C1D07"/>
    <w:multiLevelType w:val="hybridMultilevel"/>
    <w:tmpl w:val="B460341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A6D06D5"/>
    <w:multiLevelType w:val="hybridMultilevel"/>
    <w:tmpl w:val="A0F691AE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13"/>
  </w:num>
  <w:num w:numId="5">
    <w:abstractNumId w:val="1"/>
  </w:num>
  <w:num w:numId="6">
    <w:abstractNumId w:val="14"/>
  </w:num>
  <w:num w:numId="7">
    <w:abstractNumId w:val="15"/>
  </w:num>
  <w:num w:numId="8">
    <w:abstractNumId w:val="8"/>
  </w:num>
  <w:num w:numId="9">
    <w:abstractNumId w:val="6"/>
  </w:num>
  <w:num w:numId="10">
    <w:abstractNumId w:val="16"/>
  </w:num>
  <w:num w:numId="11">
    <w:abstractNumId w:val="12"/>
  </w:num>
  <w:num w:numId="12">
    <w:abstractNumId w:val="10"/>
  </w:num>
  <w:num w:numId="13">
    <w:abstractNumId w:val="20"/>
  </w:num>
  <w:num w:numId="14">
    <w:abstractNumId w:val="7"/>
  </w:num>
  <w:num w:numId="15">
    <w:abstractNumId w:val="3"/>
  </w:num>
  <w:num w:numId="16">
    <w:abstractNumId w:val="5"/>
  </w:num>
  <w:num w:numId="17">
    <w:abstractNumId w:val="19"/>
  </w:num>
  <w:num w:numId="18">
    <w:abstractNumId w:val="9"/>
  </w:num>
  <w:num w:numId="19">
    <w:abstractNumId w:val="21"/>
  </w:num>
  <w:num w:numId="20">
    <w:abstractNumId w:val="11"/>
  </w:num>
  <w:num w:numId="21">
    <w:abstractNumId w:val="0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81"/>
    <w:rsid w:val="000009DE"/>
    <w:rsid w:val="0000105A"/>
    <w:rsid w:val="0000182F"/>
    <w:rsid w:val="00001A24"/>
    <w:rsid w:val="000022E8"/>
    <w:rsid w:val="00002E4B"/>
    <w:rsid w:val="000030EB"/>
    <w:rsid w:val="0000349F"/>
    <w:rsid w:val="00003C47"/>
    <w:rsid w:val="000041AE"/>
    <w:rsid w:val="00004687"/>
    <w:rsid w:val="00004869"/>
    <w:rsid w:val="00004E0A"/>
    <w:rsid w:val="00005400"/>
    <w:rsid w:val="00005CCD"/>
    <w:rsid w:val="00006325"/>
    <w:rsid w:val="00006993"/>
    <w:rsid w:val="00006DC3"/>
    <w:rsid w:val="00006FF4"/>
    <w:rsid w:val="00007163"/>
    <w:rsid w:val="000071EA"/>
    <w:rsid w:val="00007836"/>
    <w:rsid w:val="0001031A"/>
    <w:rsid w:val="00011005"/>
    <w:rsid w:val="00011B2E"/>
    <w:rsid w:val="00011C79"/>
    <w:rsid w:val="00011D22"/>
    <w:rsid w:val="00011D87"/>
    <w:rsid w:val="0001205B"/>
    <w:rsid w:val="0001211F"/>
    <w:rsid w:val="00012A56"/>
    <w:rsid w:val="00012BAB"/>
    <w:rsid w:val="00012DB7"/>
    <w:rsid w:val="00012EB6"/>
    <w:rsid w:val="0001323E"/>
    <w:rsid w:val="00013486"/>
    <w:rsid w:val="0001351A"/>
    <w:rsid w:val="00013971"/>
    <w:rsid w:val="00014064"/>
    <w:rsid w:val="00015222"/>
    <w:rsid w:val="000153AF"/>
    <w:rsid w:val="00015E38"/>
    <w:rsid w:val="0001605B"/>
    <w:rsid w:val="000161AF"/>
    <w:rsid w:val="000164BD"/>
    <w:rsid w:val="00016636"/>
    <w:rsid w:val="00017148"/>
    <w:rsid w:val="000175DE"/>
    <w:rsid w:val="00017E1C"/>
    <w:rsid w:val="00020561"/>
    <w:rsid w:val="0002083D"/>
    <w:rsid w:val="0002140C"/>
    <w:rsid w:val="000215CD"/>
    <w:rsid w:val="00021987"/>
    <w:rsid w:val="00021CA9"/>
    <w:rsid w:val="00021D33"/>
    <w:rsid w:val="00022D06"/>
    <w:rsid w:val="00023D71"/>
    <w:rsid w:val="00023DA9"/>
    <w:rsid w:val="00023F14"/>
    <w:rsid w:val="0002420D"/>
    <w:rsid w:val="00025250"/>
    <w:rsid w:val="0002644B"/>
    <w:rsid w:val="000273D4"/>
    <w:rsid w:val="0002749A"/>
    <w:rsid w:val="000300E1"/>
    <w:rsid w:val="00030437"/>
    <w:rsid w:val="00030AA3"/>
    <w:rsid w:val="00030DE4"/>
    <w:rsid w:val="000312EC"/>
    <w:rsid w:val="00031ABB"/>
    <w:rsid w:val="00031D1C"/>
    <w:rsid w:val="0003242B"/>
    <w:rsid w:val="00032789"/>
    <w:rsid w:val="00032A9A"/>
    <w:rsid w:val="00032B55"/>
    <w:rsid w:val="0003382E"/>
    <w:rsid w:val="0003398C"/>
    <w:rsid w:val="00033FF8"/>
    <w:rsid w:val="0003472E"/>
    <w:rsid w:val="00034C73"/>
    <w:rsid w:val="00035407"/>
    <w:rsid w:val="00035F14"/>
    <w:rsid w:val="000367D3"/>
    <w:rsid w:val="0003680E"/>
    <w:rsid w:val="00036FA8"/>
    <w:rsid w:val="000374A1"/>
    <w:rsid w:val="000375F2"/>
    <w:rsid w:val="0004004E"/>
    <w:rsid w:val="00041FBC"/>
    <w:rsid w:val="00042757"/>
    <w:rsid w:val="000429A7"/>
    <w:rsid w:val="00042BA9"/>
    <w:rsid w:val="00042CA5"/>
    <w:rsid w:val="00042F1D"/>
    <w:rsid w:val="000433AF"/>
    <w:rsid w:val="00043B4E"/>
    <w:rsid w:val="00044475"/>
    <w:rsid w:val="000445D5"/>
    <w:rsid w:val="00044B92"/>
    <w:rsid w:val="00045739"/>
    <w:rsid w:val="000464F3"/>
    <w:rsid w:val="0004737B"/>
    <w:rsid w:val="000503D2"/>
    <w:rsid w:val="00050D14"/>
    <w:rsid w:val="00050FF9"/>
    <w:rsid w:val="00051646"/>
    <w:rsid w:val="00051A93"/>
    <w:rsid w:val="00052D08"/>
    <w:rsid w:val="00052DB2"/>
    <w:rsid w:val="00052E84"/>
    <w:rsid w:val="000530F7"/>
    <w:rsid w:val="000531E2"/>
    <w:rsid w:val="00053274"/>
    <w:rsid w:val="0005424D"/>
    <w:rsid w:val="00054A58"/>
    <w:rsid w:val="00054C34"/>
    <w:rsid w:val="00054CD3"/>
    <w:rsid w:val="00055140"/>
    <w:rsid w:val="000553D7"/>
    <w:rsid w:val="000556D3"/>
    <w:rsid w:val="0005668B"/>
    <w:rsid w:val="000567E6"/>
    <w:rsid w:val="00056DAD"/>
    <w:rsid w:val="0005785E"/>
    <w:rsid w:val="00060324"/>
    <w:rsid w:val="00060348"/>
    <w:rsid w:val="00060733"/>
    <w:rsid w:val="00060EBB"/>
    <w:rsid w:val="0006119D"/>
    <w:rsid w:val="00061676"/>
    <w:rsid w:val="00061C44"/>
    <w:rsid w:val="00062436"/>
    <w:rsid w:val="00062B02"/>
    <w:rsid w:val="00062B03"/>
    <w:rsid w:val="00062B91"/>
    <w:rsid w:val="00062BD2"/>
    <w:rsid w:val="00063AAF"/>
    <w:rsid w:val="000640CF"/>
    <w:rsid w:val="0006488B"/>
    <w:rsid w:val="00064AAF"/>
    <w:rsid w:val="00064EAF"/>
    <w:rsid w:val="00065BA0"/>
    <w:rsid w:val="00065C1A"/>
    <w:rsid w:val="0006600D"/>
    <w:rsid w:val="0006673A"/>
    <w:rsid w:val="0006678E"/>
    <w:rsid w:val="00066867"/>
    <w:rsid w:val="00066CFD"/>
    <w:rsid w:val="00066FB6"/>
    <w:rsid w:val="00066FED"/>
    <w:rsid w:val="000674DF"/>
    <w:rsid w:val="00067655"/>
    <w:rsid w:val="000678AE"/>
    <w:rsid w:val="00067B17"/>
    <w:rsid w:val="00067E36"/>
    <w:rsid w:val="000700E6"/>
    <w:rsid w:val="00070363"/>
    <w:rsid w:val="000708BC"/>
    <w:rsid w:val="000717AB"/>
    <w:rsid w:val="00071D05"/>
    <w:rsid w:val="00073F23"/>
    <w:rsid w:val="000741BF"/>
    <w:rsid w:val="000746AF"/>
    <w:rsid w:val="00074753"/>
    <w:rsid w:val="0007478B"/>
    <w:rsid w:val="00074A9C"/>
    <w:rsid w:val="00075C29"/>
    <w:rsid w:val="00075FEF"/>
    <w:rsid w:val="00076675"/>
    <w:rsid w:val="00076F08"/>
    <w:rsid w:val="000770F9"/>
    <w:rsid w:val="00077114"/>
    <w:rsid w:val="00077CE1"/>
    <w:rsid w:val="00077FFD"/>
    <w:rsid w:val="00080334"/>
    <w:rsid w:val="000805D2"/>
    <w:rsid w:val="000806EE"/>
    <w:rsid w:val="000807A3"/>
    <w:rsid w:val="00080A63"/>
    <w:rsid w:val="00081396"/>
    <w:rsid w:val="000818AC"/>
    <w:rsid w:val="00081BEF"/>
    <w:rsid w:val="00081D8E"/>
    <w:rsid w:val="00081F50"/>
    <w:rsid w:val="00082F36"/>
    <w:rsid w:val="00082FB9"/>
    <w:rsid w:val="00082FDE"/>
    <w:rsid w:val="000839B3"/>
    <w:rsid w:val="00083C5F"/>
    <w:rsid w:val="00084F0F"/>
    <w:rsid w:val="00085B6C"/>
    <w:rsid w:val="000860F2"/>
    <w:rsid w:val="0008650C"/>
    <w:rsid w:val="000877C8"/>
    <w:rsid w:val="000878C7"/>
    <w:rsid w:val="0009131C"/>
    <w:rsid w:val="00091394"/>
    <w:rsid w:val="000917FB"/>
    <w:rsid w:val="00091816"/>
    <w:rsid w:val="00091DA2"/>
    <w:rsid w:val="00091DFC"/>
    <w:rsid w:val="00091EC4"/>
    <w:rsid w:val="00091F35"/>
    <w:rsid w:val="0009267B"/>
    <w:rsid w:val="00092B09"/>
    <w:rsid w:val="00093265"/>
    <w:rsid w:val="000935A1"/>
    <w:rsid w:val="00093DC2"/>
    <w:rsid w:val="000944EA"/>
    <w:rsid w:val="000947E4"/>
    <w:rsid w:val="00094866"/>
    <w:rsid w:val="00094ED7"/>
    <w:rsid w:val="00094FF1"/>
    <w:rsid w:val="000953F1"/>
    <w:rsid w:val="00095978"/>
    <w:rsid w:val="00095E7F"/>
    <w:rsid w:val="00096121"/>
    <w:rsid w:val="00097049"/>
    <w:rsid w:val="0009751D"/>
    <w:rsid w:val="00097662"/>
    <w:rsid w:val="0009782B"/>
    <w:rsid w:val="00097B68"/>
    <w:rsid w:val="00097CED"/>
    <w:rsid w:val="000A0743"/>
    <w:rsid w:val="000A0984"/>
    <w:rsid w:val="000A3127"/>
    <w:rsid w:val="000A38A5"/>
    <w:rsid w:val="000A3C78"/>
    <w:rsid w:val="000A3CC6"/>
    <w:rsid w:val="000A4029"/>
    <w:rsid w:val="000A44F1"/>
    <w:rsid w:val="000A4979"/>
    <w:rsid w:val="000A4AD1"/>
    <w:rsid w:val="000A4F3B"/>
    <w:rsid w:val="000A4FAD"/>
    <w:rsid w:val="000A5617"/>
    <w:rsid w:val="000A7816"/>
    <w:rsid w:val="000A7A3D"/>
    <w:rsid w:val="000A7FF7"/>
    <w:rsid w:val="000B0214"/>
    <w:rsid w:val="000B1478"/>
    <w:rsid w:val="000B1983"/>
    <w:rsid w:val="000B24B0"/>
    <w:rsid w:val="000B2907"/>
    <w:rsid w:val="000B2D04"/>
    <w:rsid w:val="000B2E0A"/>
    <w:rsid w:val="000B3776"/>
    <w:rsid w:val="000B4079"/>
    <w:rsid w:val="000B4A60"/>
    <w:rsid w:val="000B4C00"/>
    <w:rsid w:val="000B4ECD"/>
    <w:rsid w:val="000B5B84"/>
    <w:rsid w:val="000B6040"/>
    <w:rsid w:val="000B7142"/>
    <w:rsid w:val="000C0666"/>
    <w:rsid w:val="000C0A8D"/>
    <w:rsid w:val="000C259E"/>
    <w:rsid w:val="000C2CAC"/>
    <w:rsid w:val="000C3A3A"/>
    <w:rsid w:val="000C3ED2"/>
    <w:rsid w:val="000C44A9"/>
    <w:rsid w:val="000C58E7"/>
    <w:rsid w:val="000C5F86"/>
    <w:rsid w:val="000C61D8"/>
    <w:rsid w:val="000C6AAF"/>
    <w:rsid w:val="000C6AF5"/>
    <w:rsid w:val="000C6F03"/>
    <w:rsid w:val="000C764A"/>
    <w:rsid w:val="000C7B4E"/>
    <w:rsid w:val="000D026F"/>
    <w:rsid w:val="000D04E8"/>
    <w:rsid w:val="000D0A6D"/>
    <w:rsid w:val="000D1E1B"/>
    <w:rsid w:val="000D26CC"/>
    <w:rsid w:val="000D3F0E"/>
    <w:rsid w:val="000D523F"/>
    <w:rsid w:val="000D5599"/>
    <w:rsid w:val="000D5D69"/>
    <w:rsid w:val="000D692B"/>
    <w:rsid w:val="000D6F14"/>
    <w:rsid w:val="000D728B"/>
    <w:rsid w:val="000D73A8"/>
    <w:rsid w:val="000D7DEB"/>
    <w:rsid w:val="000E0A23"/>
    <w:rsid w:val="000E0DFD"/>
    <w:rsid w:val="000E0F06"/>
    <w:rsid w:val="000E142D"/>
    <w:rsid w:val="000E17C3"/>
    <w:rsid w:val="000E21B2"/>
    <w:rsid w:val="000E241A"/>
    <w:rsid w:val="000E2623"/>
    <w:rsid w:val="000E2727"/>
    <w:rsid w:val="000E30F8"/>
    <w:rsid w:val="000E317F"/>
    <w:rsid w:val="000E3AF7"/>
    <w:rsid w:val="000E3FA7"/>
    <w:rsid w:val="000E43CC"/>
    <w:rsid w:val="000E4495"/>
    <w:rsid w:val="000E453F"/>
    <w:rsid w:val="000E4993"/>
    <w:rsid w:val="000E50CA"/>
    <w:rsid w:val="000E555A"/>
    <w:rsid w:val="000E57E9"/>
    <w:rsid w:val="000E5C4F"/>
    <w:rsid w:val="000E5EFA"/>
    <w:rsid w:val="000E60FC"/>
    <w:rsid w:val="000E7230"/>
    <w:rsid w:val="000F0091"/>
    <w:rsid w:val="000F042C"/>
    <w:rsid w:val="000F04CC"/>
    <w:rsid w:val="000F0697"/>
    <w:rsid w:val="000F0F20"/>
    <w:rsid w:val="000F1061"/>
    <w:rsid w:val="000F14E1"/>
    <w:rsid w:val="000F16CD"/>
    <w:rsid w:val="000F17F4"/>
    <w:rsid w:val="000F1CBF"/>
    <w:rsid w:val="000F2B02"/>
    <w:rsid w:val="000F2F96"/>
    <w:rsid w:val="000F34E8"/>
    <w:rsid w:val="000F3DE4"/>
    <w:rsid w:val="000F4132"/>
    <w:rsid w:val="000F4D63"/>
    <w:rsid w:val="000F5644"/>
    <w:rsid w:val="000F572E"/>
    <w:rsid w:val="000F625D"/>
    <w:rsid w:val="000F64D1"/>
    <w:rsid w:val="000F65D8"/>
    <w:rsid w:val="000F73AD"/>
    <w:rsid w:val="000F7B6A"/>
    <w:rsid w:val="000F7B90"/>
    <w:rsid w:val="000F7CD9"/>
    <w:rsid w:val="000F7D64"/>
    <w:rsid w:val="00100035"/>
    <w:rsid w:val="0010035F"/>
    <w:rsid w:val="001012FD"/>
    <w:rsid w:val="001015DC"/>
    <w:rsid w:val="00101A77"/>
    <w:rsid w:val="00101C91"/>
    <w:rsid w:val="00101D96"/>
    <w:rsid w:val="00101FD3"/>
    <w:rsid w:val="001026D7"/>
    <w:rsid w:val="00102ED5"/>
    <w:rsid w:val="00103A93"/>
    <w:rsid w:val="001042E8"/>
    <w:rsid w:val="00104443"/>
    <w:rsid w:val="00104AA8"/>
    <w:rsid w:val="001055C0"/>
    <w:rsid w:val="00105EF5"/>
    <w:rsid w:val="00106572"/>
    <w:rsid w:val="00106A5E"/>
    <w:rsid w:val="001075C6"/>
    <w:rsid w:val="001078F6"/>
    <w:rsid w:val="00107E82"/>
    <w:rsid w:val="00110185"/>
    <w:rsid w:val="0011084E"/>
    <w:rsid w:val="00111776"/>
    <w:rsid w:val="00111A44"/>
    <w:rsid w:val="00111C51"/>
    <w:rsid w:val="00113028"/>
    <w:rsid w:val="00113270"/>
    <w:rsid w:val="0011328E"/>
    <w:rsid w:val="00114407"/>
    <w:rsid w:val="00114FBE"/>
    <w:rsid w:val="0011511D"/>
    <w:rsid w:val="001151DA"/>
    <w:rsid w:val="00115BC7"/>
    <w:rsid w:val="00115C84"/>
    <w:rsid w:val="001164D5"/>
    <w:rsid w:val="00116629"/>
    <w:rsid w:val="001173F4"/>
    <w:rsid w:val="001175AC"/>
    <w:rsid w:val="00121051"/>
    <w:rsid w:val="00121A00"/>
    <w:rsid w:val="00121BE9"/>
    <w:rsid w:val="001220E2"/>
    <w:rsid w:val="00122447"/>
    <w:rsid w:val="00123B0E"/>
    <w:rsid w:val="0012576A"/>
    <w:rsid w:val="00125886"/>
    <w:rsid w:val="00125DCD"/>
    <w:rsid w:val="00125F7F"/>
    <w:rsid w:val="001261C7"/>
    <w:rsid w:val="0012742A"/>
    <w:rsid w:val="0013132A"/>
    <w:rsid w:val="0013137F"/>
    <w:rsid w:val="001314CB"/>
    <w:rsid w:val="00131B02"/>
    <w:rsid w:val="001328C2"/>
    <w:rsid w:val="0013298B"/>
    <w:rsid w:val="001335BA"/>
    <w:rsid w:val="00133843"/>
    <w:rsid w:val="00133F13"/>
    <w:rsid w:val="001343E5"/>
    <w:rsid w:val="00134BE6"/>
    <w:rsid w:val="00134C3E"/>
    <w:rsid w:val="00134CDB"/>
    <w:rsid w:val="00134CE4"/>
    <w:rsid w:val="00135C8E"/>
    <w:rsid w:val="0013643C"/>
    <w:rsid w:val="00136917"/>
    <w:rsid w:val="001371D0"/>
    <w:rsid w:val="001376A5"/>
    <w:rsid w:val="00140BDC"/>
    <w:rsid w:val="00140C33"/>
    <w:rsid w:val="00140E4A"/>
    <w:rsid w:val="00141BA7"/>
    <w:rsid w:val="00141C82"/>
    <w:rsid w:val="00141D96"/>
    <w:rsid w:val="001429CB"/>
    <w:rsid w:val="00143571"/>
    <w:rsid w:val="00143FFD"/>
    <w:rsid w:val="0014418D"/>
    <w:rsid w:val="00144FE7"/>
    <w:rsid w:val="00145E68"/>
    <w:rsid w:val="001462B0"/>
    <w:rsid w:val="001465EB"/>
    <w:rsid w:val="00146656"/>
    <w:rsid w:val="00146735"/>
    <w:rsid w:val="00146945"/>
    <w:rsid w:val="00146ECD"/>
    <w:rsid w:val="001471E5"/>
    <w:rsid w:val="00147C8D"/>
    <w:rsid w:val="00147D75"/>
    <w:rsid w:val="00151310"/>
    <w:rsid w:val="00151841"/>
    <w:rsid w:val="00151FA5"/>
    <w:rsid w:val="00152E10"/>
    <w:rsid w:val="00152F97"/>
    <w:rsid w:val="0015314D"/>
    <w:rsid w:val="001535DC"/>
    <w:rsid w:val="00153F57"/>
    <w:rsid w:val="00155028"/>
    <w:rsid w:val="00155B68"/>
    <w:rsid w:val="00156DBF"/>
    <w:rsid w:val="001576D4"/>
    <w:rsid w:val="001579E3"/>
    <w:rsid w:val="00160243"/>
    <w:rsid w:val="00160C04"/>
    <w:rsid w:val="00160CBB"/>
    <w:rsid w:val="00160F0C"/>
    <w:rsid w:val="00160FDF"/>
    <w:rsid w:val="0016156C"/>
    <w:rsid w:val="001616DA"/>
    <w:rsid w:val="00161C26"/>
    <w:rsid w:val="00161C60"/>
    <w:rsid w:val="00161FD8"/>
    <w:rsid w:val="0016208D"/>
    <w:rsid w:val="00163ED9"/>
    <w:rsid w:val="00164FDF"/>
    <w:rsid w:val="0016529B"/>
    <w:rsid w:val="00165E0D"/>
    <w:rsid w:val="00165F3F"/>
    <w:rsid w:val="001660A7"/>
    <w:rsid w:val="00166610"/>
    <w:rsid w:val="00166848"/>
    <w:rsid w:val="00166853"/>
    <w:rsid w:val="001668E3"/>
    <w:rsid w:val="00167687"/>
    <w:rsid w:val="00170143"/>
    <w:rsid w:val="00170319"/>
    <w:rsid w:val="00170CCD"/>
    <w:rsid w:val="001715F6"/>
    <w:rsid w:val="00172D28"/>
    <w:rsid w:val="00172FAD"/>
    <w:rsid w:val="00173442"/>
    <w:rsid w:val="001738E6"/>
    <w:rsid w:val="00173B65"/>
    <w:rsid w:val="00173C14"/>
    <w:rsid w:val="00173E05"/>
    <w:rsid w:val="0017478D"/>
    <w:rsid w:val="001748B8"/>
    <w:rsid w:val="00174AA5"/>
    <w:rsid w:val="00174CB6"/>
    <w:rsid w:val="00175154"/>
    <w:rsid w:val="00175A53"/>
    <w:rsid w:val="00175A6B"/>
    <w:rsid w:val="001761D1"/>
    <w:rsid w:val="001765F6"/>
    <w:rsid w:val="00176A96"/>
    <w:rsid w:val="0017784E"/>
    <w:rsid w:val="001807DE"/>
    <w:rsid w:val="00180A02"/>
    <w:rsid w:val="001823C5"/>
    <w:rsid w:val="00182743"/>
    <w:rsid w:val="00183055"/>
    <w:rsid w:val="00183B4E"/>
    <w:rsid w:val="001840EF"/>
    <w:rsid w:val="00184427"/>
    <w:rsid w:val="001855BB"/>
    <w:rsid w:val="00185630"/>
    <w:rsid w:val="001857D9"/>
    <w:rsid w:val="00185D38"/>
    <w:rsid w:val="001863E4"/>
    <w:rsid w:val="00187E34"/>
    <w:rsid w:val="00190059"/>
    <w:rsid w:val="00190B10"/>
    <w:rsid w:val="001915A4"/>
    <w:rsid w:val="00191B01"/>
    <w:rsid w:val="00191B03"/>
    <w:rsid w:val="00191F55"/>
    <w:rsid w:val="0019266A"/>
    <w:rsid w:val="001928CF"/>
    <w:rsid w:val="00193255"/>
    <w:rsid w:val="001933B6"/>
    <w:rsid w:val="001935B4"/>
    <w:rsid w:val="00193A56"/>
    <w:rsid w:val="00194263"/>
    <w:rsid w:val="0019463F"/>
    <w:rsid w:val="00194BD8"/>
    <w:rsid w:val="00195163"/>
    <w:rsid w:val="00196267"/>
    <w:rsid w:val="0019699E"/>
    <w:rsid w:val="00197A43"/>
    <w:rsid w:val="00197D07"/>
    <w:rsid w:val="00197D82"/>
    <w:rsid w:val="001A00D2"/>
    <w:rsid w:val="001A0459"/>
    <w:rsid w:val="001A06A6"/>
    <w:rsid w:val="001A1374"/>
    <w:rsid w:val="001A1442"/>
    <w:rsid w:val="001A15BC"/>
    <w:rsid w:val="001A1D14"/>
    <w:rsid w:val="001A27CD"/>
    <w:rsid w:val="001A3A31"/>
    <w:rsid w:val="001A3D26"/>
    <w:rsid w:val="001A4FC1"/>
    <w:rsid w:val="001A502E"/>
    <w:rsid w:val="001A53B6"/>
    <w:rsid w:val="001A5E34"/>
    <w:rsid w:val="001A64A7"/>
    <w:rsid w:val="001A6643"/>
    <w:rsid w:val="001A6A2F"/>
    <w:rsid w:val="001A75C9"/>
    <w:rsid w:val="001A7650"/>
    <w:rsid w:val="001B03B6"/>
    <w:rsid w:val="001B042B"/>
    <w:rsid w:val="001B25F5"/>
    <w:rsid w:val="001B3F1D"/>
    <w:rsid w:val="001B4EB5"/>
    <w:rsid w:val="001B4F06"/>
    <w:rsid w:val="001B544A"/>
    <w:rsid w:val="001B54F1"/>
    <w:rsid w:val="001B55AC"/>
    <w:rsid w:val="001B6B33"/>
    <w:rsid w:val="001B6EAA"/>
    <w:rsid w:val="001B7384"/>
    <w:rsid w:val="001B749E"/>
    <w:rsid w:val="001C044E"/>
    <w:rsid w:val="001C06A9"/>
    <w:rsid w:val="001C0D6F"/>
    <w:rsid w:val="001C1561"/>
    <w:rsid w:val="001C1A1F"/>
    <w:rsid w:val="001C25DC"/>
    <w:rsid w:val="001C26F9"/>
    <w:rsid w:val="001C2B83"/>
    <w:rsid w:val="001C2C0C"/>
    <w:rsid w:val="001C30F9"/>
    <w:rsid w:val="001C3483"/>
    <w:rsid w:val="001C37D9"/>
    <w:rsid w:val="001C3D96"/>
    <w:rsid w:val="001C4055"/>
    <w:rsid w:val="001C4825"/>
    <w:rsid w:val="001C5300"/>
    <w:rsid w:val="001C5517"/>
    <w:rsid w:val="001C5CE7"/>
    <w:rsid w:val="001C5DA5"/>
    <w:rsid w:val="001C6268"/>
    <w:rsid w:val="001C6E45"/>
    <w:rsid w:val="001C6F83"/>
    <w:rsid w:val="001C7066"/>
    <w:rsid w:val="001C7CDB"/>
    <w:rsid w:val="001D0D33"/>
    <w:rsid w:val="001D13B8"/>
    <w:rsid w:val="001D199F"/>
    <w:rsid w:val="001D1A69"/>
    <w:rsid w:val="001D1C9F"/>
    <w:rsid w:val="001D1DE0"/>
    <w:rsid w:val="001D2837"/>
    <w:rsid w:val="001D29E4"/>
    <w:rsid w:val="001D2F8A"/>
    <w:rsid w:val="001D3FB2"/>
    <w:rsid w:val="001D419B"/>
    <w:rsid w:val="001D428D"/>
    <w:rsid w:val="001D44E7"/>
    <w:rsid w:val="001D4F86"/>
    <w:rsid w:val="001D557D"/>
    <w:rsid w:val="001D5846"/>
    <w:rsid w:val="001D6479"/>
    <w:rsid w:val="001D6C5F"/>
    <w:rsid w:val="001D76E1"/>
    <w:rsid w:val="001D782B"/>
    <w:rsid w:val="001E0D88"/>
    <w:rsid w:val="001E162A"/>
    <w:rsid w:val="001E26DD"/>
    <w:rsid w:val="001E2912"/>
    <w:rsid w:val="001E2B9D"/>
    <w:rsid w:val="001E39D1"/>
    <w:rsid w:val="001E3BE7"/>
    <w:rsid w:val="001E441D"/>
    <w:rsid w:val="001E45C4"/>
    <w:rsid w:val="001E4A49"/>
    <w:rsid w:val="001E50B2"/>
    <w:rsid w:val="001E57F9"/>
    <w:rsid w:val="001E595A"/>
    <w:rsid w:val="001E59E2"/>
    <w:rsid w:val="001E6046"/>
    <w:rsid w:val="001E6AD3"/>
    <w:rsid w:val="001E6BB4"/>
    <w:rsid w:val="001E7155"/>
    <w:rsid w:val="001E7BA6"/>
    <w:rsid w:val="001E7C54"/>
    <w:rsid w:val="001F007B"/>
    <w:rsid w:val="001F0358"/>
    <w:rsid w:val="001F03EB"/>
    <w:rsid w:val="001F0BBF"/>
    <w:rsid w:val="001F0C50"/>
    <w:rsid w:val="001F1282"/>
    <w:rsid w:val="001F1629"/>
    <w:rsid w:val="001F1AEC"/>
    <w:rsid w:val="001F296B"/>
    <w:rsid w:val="001F29C8"/>
    <w:rsid w:val="001F3083"/>
    <w:rsid w:val="001F328C"/>
    <w:rsid w:val="001F4512"/>
    <w:rsid w:val="001F4701"/>
    <w:rsid w:val="001F483D"/>
    <w:rsid w:val="001F4BCE"/>
    <w:rsid w:val="001F52B5"/>
    <w:rsid w:val="001F5740"/>
    <w:rsid w:val="001F6043"/>
    <w:rsid w:val="001F66B2"/>
    <w:rsid w:val="001F66C3"/>
    <w:rsid w:val="001F704A"/>
    <w:rsid w:val="001F7637"/>
    <w:rsid w:val="001F7BDC"/>
    <w:rsid w:val="001F7E4F"/>
    <w:rsid w:val="0020098E"/>
    <w:rsid w:val="00200EAD"/>
    <w:rsid w:val="002011D7"/>
    <w:rsid w:val="00201388"/>
    <w:rsid w:val="002014C0"/>
    <w:rsid w:val="002036B4"/>
    <w:rsid w:val="00203D30"/>
    <w:rsid w:val="00204333"/>
    <w:rsid w:val="002045F8"/>
    <w:rsid w:val="00204CDC"/>
    <w:rsid w:val="0020580B"/>
    <w:rsid w:val="0020630D"/>
    <w:rsid w:val="0020668D"/>
    <w:rsid w:val="00207424"/>
    <w:rsid w:val="00207E1B"/>
    <w:rsid w:val="002102B3"/>
    <w:rsid w:val="0021055D"/>
    <w:rsid w:val="002109D2"/>
    <w:rsid w:val="002115CC"/>
    <w:rsid w:val="00211F2B"/>
    <w:rsid w:val="002123E1"/>
    <w:rsid w:val="0021247E"/>
    <w:rsid w:val="00212BB6"/>
    <w:rsid w:val="00213235"/>
    <w:rsid w:val="00213712"/>
    <w:rsid w:val="002137AB"/>
    <w:rsid w:val="002137C2"/>
    <w:rsid w:val="00213F61"/>
    <w:rsid w:val="00214F12"/>
    <w:rsid w:val="0021518D"/>
    <w:rsid w:val="00215518"/>
    <w:rsid w:val="00215CB0"/>
    <w:rsid w:val="0021633B"/>
    <w:rsid w:val="002163A1"/>
    <w:rsid w:val="00216D79"/>
    <w:rsid w:val="00217CA9"/>
    <w:rsid w:val="00217FB8"/>
    <w:rsid w:val="002215F4"/>
    <w:rsid w:val="0022201E"/>
    <w:rsid w:val="002222A6"/>
    <w:rsid w:val="00222893"/>
    <w:rsid w:val="00222C19"/>
    <w:rsid w:val="00224019"/>
    <w:rsid w:val="00224BA1"/>
    <w:rsid w:val="00224F51"/>
    <w:rsid w:val="00225732"/>
    <w:rsid w:val="00225A6F"/>
    <w:rsid w:val="00225DD7"/>
    <w:rsid w:val="00226B6F"/>
    <w:rsid w:val="00230009"/>
    <w:rsid w:val="0023156E"/>
    <w:rsid w:val="00231BC7"/>
    <w:rsid w:val="00232144"/>
    <w:rsid w:val="00232187"/>
    <w:rsid w:val="00232463"/>
    <w:rsid w:val="0023265A"/>
    <w:rsid w:val="0023339A"/>
    <w:rsid w:val="00233779"/>
    <w:rsid w:val="00233950"/>
    <w:rsid w:val="00233BA3"/>
    <w:rsid w:val="002344B6"/>
    <w:rsid w:val="00234CA5"/>
    <w:rsid w:val="00234FB7"/>
    <w:rsid w:val="00235128"/>
    <w:rsid w:val="00235745"/>
    <w:rsid w:val="00235828"/>
    <w:rsid w:val="00235CAA"/>
    <w:rsid w:val="00236653"/>
    <w:rsid w:val="00236F76"/>
    <w:rsid w:val="002372E0"/>
    <w:rsid w:val="0023784A"/>
    <w:rsid w:val="00237B39"/>
    <w:rsid w:val="00237F72"/>
    <w:rsid w:val="00240610"/>
    <w:rsid w:val="002406E1"/>
    <w:rsid w:val="002410FB"/>
    <w:rsid w:val="002413B4"/>
    <w:rsid w:val="0024256F"/>
    <w:rsid w:val="00242BEE"/>
    <w:rsid w:val="00242D28"/>
    <w:rsid w:val="00243064"/>
    <w:rsid w:val="002434AD"/>
    <w:rsid w:val="002434AE"/>
    <w:rsid w:val="002437FA"/>
    <w:rsid w:val="00243C36"/>
    <w:rsid w:val="00243E69"/>
    <w:rsid w:val="0024404B"/>
    <w:rsid w:val="002447A6"/>
    <w:rsid w:val="00244A3B"/>
    <w:rsid w:val="00244ACD"/>
    <w:rsid w:val="00245AB6"/>
    <w:rsid w:val="00245AE7"/>
    <w:rsid w:val="00245D28"/>
    <w:rsid w:val="00246466"/>
    <w:rsid w:val="002465BE"/>
    <w:rsid w:val="002468A3"/>
    <w:rsid w:val="0025017B"/>
    <w:rsid w:val="00250B62"/>
    <w:rsid w:val="002511AD"/>
    <w:rsid w:val="00251835"/>
    <w:rsid w:val="0025247A"/>
    <w:rsid w:val="00252CD9"/>
    <w:rsid w:val="00252DBE"/>
    <w:rsid w:val="00253686"/>
    <w:rsid w:val="002543A0"/>
    <w:rsid w:val="0025484C"/>
    <w:rsid w:val="0025487E"/>
    <w:rsid w:val="00254AF8"/>
    <w:rsid w:val="00255EA0"/>
    <w:rsid w:val="0025602D"/>
    <w:rsid w:val="0025606B"/>
    <w:rsid w:val="002563A6"/>
    <w:rsid w:val="002566DE"/>
    <w:rsid w:val="002575F6"/>
    <w:rsid w:val="002577AD"/>
    <w:rsid w:val="00257EFC"/>
    <w:rsid w:val="00260475"/>
    <w:rsid w:val="00260792"/>
    <w:rsid w:val="00261C93"/>
    <w:rsid w:val="00262825"/>
    <w:rsid w:val="002632F8"/>
    <w:rsid w:val="002639D9"/>
    <w:rsid w:val="002649F7"/>
    <w:rsid w:val="00265168"/>
    <w:rsid w:val="00265215"/>
    <w:rsid w:val="002652B5"/>
    <w:rsid w:val="00265383"/>
    <w:rsid w:val="002659AE"/>
    <w:rsid w:val="002664DE"/>
    <w:rsid w:val="00266566"/>
    <w:rsid w:val="002666EB"/>
    <w:rsid w:val="0026694F"/>
    <w:rsid w:val="00267113"/>
    <w:rsid w:val="00267695"/>
    <w:rsid w:val="00267ABC"/>
    <w:rsid w:val="00267B40"/>
    <w:rsid w:val="0027018F"/>
    <w:rsid w:val="002702B6"/>
    <w:rsid w:val="00270B21"/>
    <w:rsid w:val="00270B72"/>
    <w:rsid w:val="00270C69"/>
    <w:rsid w:val="00270C7D"/>
    <w:rsid w:val="0027165B"/>
    <w:rsid w:val="002721E3"/>
    <w:rsid w:val="002726C1"/>
    <w:rsid w:val="00272E37"/>
    <w:rsid w:val="002731CD"/>
    <w:rsid w:val="0027365C"/>
    <w:rsid w:val="00273907"/>
    <w:rsid w:val="00273B22"/>
    <w:rsid w:val="00274053"/>
    <w:rsid w:val="00274E3D"/>
    <w:rsid w:val="00275355"/>
    <w:rsid w:val="002758E6"/>
    <w:rsid w:val="002762E5"/>
    <w:rsid w:val="002766D8"/>
    <w:rsid w:val="00280047"/>
    <w:rsid w:val="00280A49"/>
    <w:rsid w:val="002818E5"/>
    <w:rsid w:val="002820E4"/>
    <w:rsid w:val="00282951"/>
    <w:rsid w:val="00282DB8"/>
    <w:rsid w:val="00284218"/>
    <w:rsid w:val="002843C0"/>
    <w:rsid w:val="00284626"/>
    <w:rsid w:val="002847AE"/>
    <w:rsid w:val="00285648"/>
    <w:rsid w:val="00285D62"/>
    <w:rsid w:val="00285F6D"/>
    <w:rsid w:val="002860DD"/>
    <w:rsid w:val="002861B6"/>
    <w:rsid w:val="00286CFE"/>
    <w:rsid w:val="00286D11"/>
    <w:rsid w:val="00287B45"/>
    <w:rsid w:val="00290033"/>
    <w:rsid w:val="00290B57"/>
    <w:rsid w:val="00291263"/>
    <w:rsid w:val="00291690"/>
    <w:rsid w:val="002934D4"/>
    <w:rsid w:val="00293926"/>
    <w:rsid w:val="00293A04"/>
    <w:rsid w:val="00293A0E"/>
    <w:rsid w:val="00293DBE"/>
    <w:rsid w:val="0029444D"/>
    <w:rsid w:val="002948E9"/>
    <w:rsid w:val="00295619"/>
    <w:rsid w:val="002961F5"/>
    <w:rsid w:val="002963E7"/>
    <w:rsid w:val="002968AE"/>
    <w:rsid w:val="00297B2B"/>
    <w:rsid w:val="00297CB2"/>
    <w:rsid w:val="00297DC4"/>
    <w:rsid w:val="002A00DA"/>
    <w:rsid w:val="002A10B3"/>
    <w:rsid w:val="002A1C08"/>
    <w:rsid w:val="002A1D51"/>
    <w:rsid w:val="002A1F68"/>
    <w:rsid w:val="002A21DC"/>
    <w:rsid w:val="002A249E"/>
    <w:rsid w:val="002A2843"/>
    <w:rsid w:val="002A3FAD"/>
    <w:rsid w:val="002A4008"/>
    <w:rsid w:val="002A426E"/>
    <w:rsid w:val="002A50AD"/>
    <w:rsid w:val="002A5115"/>
    <w:rsid w:val="002A52C2"/>
    <w:rsid w:val="002A5387"/>
    <w:rsid w:val="002A5A7C"/>
    <w:rsid w:val="002A62DB"/>
    <w:rsid w:val="002A6572"/>
    <w:rsid w:val="002A6D9A"/>
    <w:rsid w:val="002A7020"/>
    <w:rsid w:val="002B0491"/>
    <w:rsid w:val="002B0821"/>
    <w:rsid w:val="002B0E29"/>
    <w:rsid w:val="002B1A9F"/>
    <w:rsid w:val="002B1CB0"/>
    <w:rsid w:val="002B1E95"/>
    <w:rsid w:val="002B211A"/>
    <w:rsid w:val="002B2285"/>
    <w:rsid w:val="002B2EC9"/>
    <w:rsid w:val="002B2F49"/>
    <w:rsid w:val="002B3119"/>
    <w:rsid w:val="002B3209"/>
    <w:rsid w:val="002B335D"/>
    <w:rsid w:val="002B3A5C"/>
    <w:rsid w:val="002B3CF0"/>
    <w:rsid w:val="002B4BFE"/>
    <w:rsid w:val="002B4F65"/>
    <w:rsid w:val="002B5278"/>
    <w:rsid w:val="002B5A90"/>
    <w:rsid w:val="002B7254"/>
    <w:rsid w:val="002B7999"/>
    <w:rsid w:val="002B7A1C"/>
    <w:rsid w:val="002B7AAB"/>
    <w:rsid w:val="002C0E70"/>
    <w:rsid w:val="002C2198"/>
    <w:rsid w:val="002C2245"/>
    <w:rsid w:val="002C25B7"/>
    <w:rsid w:val="002C2D8B"/>
    <w:rsid w:val="002C34B0"/>
    <w:rsid w:val="002C3B10"/>
    <w:rsid w:val="002C3BD1"/>
    <w:rsid w:val="002C6088"/>
    <w:rsid w:val="002C6ABD"/>
    <w:rsid w:val="002C7113"/>
    <w:rsid w:val="002C727C"/>
    <w:rsid w:val="002C78E2"/>
    <w:rsid w:val="002C7BB8"/>
    <w:rsid w:val="002D0190"/>
    <w:rsid w:val="002D0C70"/>
    <w:rsid w:val="002D142E"/>
    <w:rsid w:val="002D14F5"/>
    <w:rsid w:val="002D1E59"/>
    <w:rsid w:val="002D1F13"/>
    <w:rsid w:val="002D22A7"/>
    <w:rsid w:val="002D2C15"/>
    <w:rsid w:val="002D2DD0"/>
    <w:rsid w:val="002D33EA"/>
    <w:rsid w:val="002D3597"/>
    <w:rsid w:val="002D3D29"/>
    <w:rsid w:val="002D4483"/>
    <w:rsid w:val="002D510F"/>
    <w:rsid w:val="002D6D1C"/>
    <w:rsid w:val="002D711F"/>
    <w:rsid w:val="002D75C2"/>
    <w:rsid w:val="002D7892"/>
    <w:rsid w:val="002E0843"/>
    <w:rsid w:val="002E0CFF"/>
    <w:rsid w:val="002E1AB4"/>
    <w:rsid w:val="002E1AC2"/>
    <w:rsid w:val="002E26DD"/>
    <w:rsid w:val="002E2861"/>
    <w:rsid w:val="002E2ECD"/>
    <w:rsid w:val="002E3BC7"/>
    <w:rsid w:val="002E3C66"/>
    <w:rsid w:val="002E418B"/>
    <w:rsid w:val="002E46E3"/>
    <w:rsid w:val="002E519F"/>
    <w:rsid w:val="002E5A1B"/>
    <w:rsid w:val="002E7761"/>
    <w:rsid w:val="002E7954"/>
    <w:rsid w:val="002E7A19"/>
    <w:rsid w:val="002E7D46"/>
    <w:rsid w:val="002E7F46"/>
    <w:rsid w:val="002E7FEE"/>
    <w:rsid w:val="002F01A2"/>
    <w:rsid w:val="002F0F15"/>
    <w:rsid w:val="002F10B8"/>
    <w:rsid w:val="002F1240"/>
    <w:rsid w:val="002F1379"/>
    <w:rsid w:val="002F18BE"/>
    <w:rsid w:val="002F2335"/>
    <w:rsid w:val="002F29E4"/>
    <w:rsid w:val="002F2DF1"/>
    <w:rsid w:val="002F3530"/>
    <w:rsid w:val="002F4A93"/>
    <w:rsid w:val="002F4E62"/>
    <w:rsid w:val="002F4EEF"/>
    <w:rsid w:val="002F5927"/>
    <w:rsid w:val="002F61D4"/>
    <w:rsid w:val="002F734A"/>
    <w:rsid w:val="002F7618"/>
    <w:rsid w:val="002F7D15"/>
    <w:rsid w:val="00300175"/>
    <w:rsid w:val="0030063F"/>
    <w:rsid w:val="00300D4A"/>
    <w:rsid w:val="003011D6"/>
    <w:rsid w:val="003013AB"/>
    <w:rsid w:val="003018EC"/>
    <w:rsid w:val="00302BC5"/>
    <w:rsid w:val="00302F3D"/>
    <w:rsid w:val="0030315E"/>
    <w:rsid w:val="00303198"/>
    <w:rsid w:val="00303382"/>
    <w:rsid w:val="00303859"/>
    <w:rsid w:val="00304D5A"/>
    <w:rsid w:val="003051DB"/>
    <w:rsid w:val="003053C3"/>
    <w:rsid w:val="0030636B"/>
    <w:rsid w:val="00306442"/>
    <w:rsid w:val="003064CA"/>
    <w:rsid w:val="003064D0"/>
    <w:rsid w:val="0030673B"/>
    <w:rsid w:val="00306F82"/>
    <w:rsid w:val="0030710B"/>
    <w:rsid w:val="003075CC"/>
    <w:rsid w:val="00307A04"/>
    <w:rsid w:val="00307ADB"/>
    <w:rsid w:val="003101EF"/>
    <w:rsid w:val="003103D3"/>
    <w:rsid w:val="0031180B"/>
    <w:rsid w:val="00311AA3"/>
    <w:rsid w:val="003129F2"/>
    <w:rsid w:val="00312DF8"/>
    <w:rsid w:val="00313134"/>
    <w:rsid w:val="0031394D"/>
    <w:rsid w:val="00313AAE"/>
    <w:rsid w:val="00313B5C"/>
    <w:rsid w:val="003147AE"/>
    <w:rsid w:val="00314A33"/>
    <w:rsid w:val="00314EA7"/>
    <w:rsid w:val="0031529C"/>
    <w:rsid w:val="0031588F"/>
    <w:rsid w:val="0031595A"/>
    <w:rsid w:val="00316C0E"/>
    <w:rsid w:val="00320182"/>
    <w:rsid w:val="003201C5"/>
    <w:rsid w:val="00320D7C"/>
    <w:rsid w:val="00321227"/>
    <w:rsid w:val="003219DE"/>
    <w:rsid w:val="00321DD0"/>
    <w:rsid w:val="00321FF9"/>
    <w:rsid w:val="0032238D"/>
    <w:rsid w:val="003224BF"/>
    <w:rsid w:val="0032309C"/>
    <w:rsid w:val="00323315"/>
    <w:rsid w:val="00323893"/>
    <w:rsid w:val="00323B97"/>
    <w:rsid w:val="003242B9"/>
    <w:rsid w:val="003246BE"/>
    <w:rsid w:val="003247FE"/>
    <w:rsid w:val="00324B10"/>
    <w:rsid w:val="00325991"/>
    <w:rsid w:val="00325EEE"/>
    <w:rsid w:val="00325F21"/>
    <w:rsid w:val="0032628D"/>
    <w:rsid w:val="0032661B"/>
    <w:rsid w:val="00326969"/>
    <w:rsid w:val="00327693"/>
    <w:rsid w:val="00327A88"/>
    <w:rsid w:val="00327AE2"/>
    <w:rsid w:val="0033003A"/>
    <w:rsid w:val="003306AC"/>
    <w:rsid w:val="00330849"/>
    <w:rsid w:val="00330A38"/>
    <w:rsid w:val="0033150A"/>
    <w:rsid w:val="003319AB"/>
    <w:rsid w:val="00332A54"/>
    <w:rsid w:val="00332B93"/>
    <w:rsid w:val="00332F7C"/>
    <w:rsid w:val="00333050"/>
    <w:rsid w:val="0033355C"/>
    <w:rsid w:val="00335291"/>
    <w:rsid w:val="00335C70"/>
    <w:rsid w:val="0033669B"/>
    <w:rsid w:val="00336701"/>
    <w:rsid w:val="00336E41"/>
    <w:rsid w:val="00336FD3"/>
    <w:rsid w:val="003375B3"/>
    <w:rsid w:val="00337FDA"/>
    <w:rsid w:val="0034087A"/>
    <w:rsid w:val="00340DDC"/>
    <w:rsid w:val="00340E70"/>
    <w:rsid w:val="00341C58"/>
    <w:rsid w:val="00341D97"/>
    <w:rsid w:val="00341F64"/>
    <w:rsid w:val="003423D6"/>
    <w:rsid w:val="003431B9"/>
    <w:rsid w:val="003432F8"/>
    <w:rsid w:val="00343B58"/>
    <w:rsid w:val="003447B2"/>
    <w:rsid w:val="00344C86"/>
    <w:rsid w:val="003450EE"/>
    <w:rsid w:val="00345213"/>
    <w:rsid w:val="0034522A"/>
    <w:rsid w:val="00345A74"/>
    <w:rsid w:val="00346A8B"/>
    <w:rsid w:val="0034724E"/>
    <w:rsid w:val="00347724"/>
    <w:rsid w:val="0034794F"/>
    <w:rsid w:val="0035085E"/>
    <w:rsid w:val="00350E2C"/>
    <w:rsid w:val="003512DF"/>
    <w:rsid w:val="0035140D"/>
    <w:rsid w:val="0035154F"/>
    <w:rsid w:val="0035222A"/>
    <w:rsid w:val="00352434"/>
    <w:rsid w:val="003526F6"/>
    <w:rsid w:val="00352B0E"/>
    <w:rsid w:val="00352EF4"/>
    <w:rsid w:val="003531BD"/>
    <w:rsid w:val="0035349D"/>
    <w:rsid w:val="00353D0E"/>
    <w:rsid w:val="00353E78"/>
    <w:rsid w:val="00354517"/>
    <w:rsid w:val="00354A97"/>
    <w:rsid w:val="00354C35"/>
    <w:rsid w:val="00354C7B"/>
    <w:rsid w:val="00354F0F"/>
    <w:rsid w:val="00355307"/>
    <w:rsid w:val="003557FF"/>
    <w:rsid w:val="00355A32"/>
    <w:rsid w:val="0035688D"/>
    <w:rsid w:val="00356E89"/>
    <w:rsid w:val="00357331"/>
    <w:rsid w:val="0035778A"/>
    <w:rsid w:val="003577BB"/>
    <w:rsid w:val="003605B5"/>
    <w:rsid w:val="003608DA"/>
    <w:rsid w:val="00360D26"/>
    <w:rsid w:val="00360D85"/>
    <w:rsid w:val="00360DB4"/>
    <w:rsid w:val="00362871"/>
    <w:rsid w:val="00362BE5"/>
    <w:rsid w:val="00362C8E"/>
    <w:rsid w:val="00363189"/>
    <w:rsid w:val="003645DC"/>
    <w:rsid w:val="0036495C"/>
    <w:rsid w:val="00364D4C"/>
    <w:rsid w:val="003654C0"/>
    <w:rsid w:val="00366550"/>
    <w:rsid w:val="003665EF"/>
    <w:rsid w:val="00366D8C"/>
    <w:rsid w:val="00370B2A"/>
    <w:rsid w:val="00370DD2"/>
    <w:rsid w:val="00372083"/>
    <w:rsid w:val="00372348"/>
    <w:rsid w:val="00372B51"/>
    <w:rsid w:val="003735BE"/>
    <w:rsid w:val="00373EEE"/>
    <w:rsid w:val="003740A8"/>
    <w:rsid w:val="00374B1B"/>
    <w:rsid w:val="00375108"/>
    <w:rsid w:val="0037530D"/>
    <w:rsid w:val="00375A70"/>
    <w:rsid w:val="00376071"/>
    <w:rsid w:val="003762E4"/>
    <w:rsid w:val="00376441"/>
    <w:rsid w:val="00376EB4"/>
    <w:rsid w:val="0038198C"/>
    <w:rsid w:val="003821AD"/>
    <w:rsid w:val="00382256"/>
    <w:rsid w:val="00382802"/>
    <w:rsid w:val="00384213"/>
    <w:rsid w:val="0038443A"/>
    <w:rsid w:val="003845B7"/>
    <w:rsid w:val="003846B2"/>
    <w:rsid w:val="0038474D"/>
    <w:rsid w:val="00384BB4"/>
    <w:rsid w:val="00384E53"/>
    <w:rsid w:val="003857C2"/>
    <w:rsid w:val="00385B9E"/>
    <w:rsid w:val="00385E36"/>
    <w:rsid w:val="0038629E"/>
    <w:rsid w:val="00386DA4"/>
    <w:rsid w:val="00387013"/>
    <w:rsid w:val="0038706B"/>
    <w:rsid w:val="0038719E"/>
    <w:rsid w:val="0038764B"/>
    <w:rsid w:val="00387D57"/>
    <w:rsid w:val="003902E3"/>
    <w:rsid w:val="0039075D"/>
    <w:rsid w:val="00390782"/>
    <w:rsid w:val="0039099A"/>
    <w:rsid w:val="00390BDD"/>
    <w:rsid w:val="00391C25"/>
    <w:rsid w:val="00391EAB"/>
    <w:rsid w:val="003939BA"/>
    <w:rsid w:val="00393FAB"/>
    <w:rsid w:val="00394712"/>
    <w:rsid w:val="00395089"/>
    <w:rsid w:val="00395828"/>
    <w:rsid w:val="0039590B"/>
    <w:rsid w:val="00395AF6"/>
    <w:rsid w:val="00396102"/>
    <w:rsid w:val="00396E83"/>
    <w:rsid w:val="0039747B"/>
    <w:rsid w:val="003974B9"/>
    <w:rsid w:val="00397D73"/>
    <w:rsid w:val="003A1B03"/>
    <w:rsid w:val="003A2852"/>
    <w:rsid w:val="003A2B54"/>
    <w:rsid w:val="003A2EDC"/>
    <w:rsid w:val="003A30C6"/>
    <w:rsid w:val="003A3A48"/>
    <w:rsid w:val="003A48CE"/>
    <w:rsid w:val="003A52D5"/>
    <w:rsid w:val="003A54D1"/>
    <w:rsid w:val="003A5652"/>
    <w:rsid w:val="003A6BC7"/>
    <w:rsid w:val="003A7097"/>
    <w:rsid w:val="003A713C"/>
    <w:rsid w:val="003A7722"/>
    <w:rsid w:val="003A7853"/>
    <w:rsid w:val="003B07A6"/>
    <w:rsid w:val="003B09FB"/>
    <w:rsid w:val="003B1490"/>
    <w:rsid w:val="003B1FA8"/>
    <w:rsid w:val="003B259B"/>
    <w:rsid w:val="003B2850"/>
    <w:rsid w:val="003B359D"/>
    <w:rsid w:val="003B4097"/>
    <w:rsid w:val="003B44EB"/>
    <w:rsid w:val="003B4989"/>
    <w:rsid w:val="003B536B"/>
    <w:rsid w:val="003B5CB9"/>
    <w:rsid w:val="003B64C5"/>
    <w:rsid w:val="003B6F4D"/>
    <w:rsid w:val="003B6FFD"/>
    <w:rsid w:val="003B76A8"/>
    <w:rsid w:val="003B7A67"/>
    <w:rsid w:val="003C0A2F"/>
    <w:rsid w:val="003C1520"/>
    <w:rsid w:val="003C15A2"/>
    <w:rsid w:val="003C17D9"/>
    <w:rsid w:val="003C22A7"/>
    <w:rsid w:val="003C2D5F"/>
    <w:rsid w:val="003C30EC"/>
    <w:rsid w:val="003C3133"/>
    <w:rsid w:val="003C3137"/>
    <w:rsid w:val="003C32DB"/>
    <w:rsid w:val="003C3463"/>
    <w:rsid w:val="003C3DCD"/>
    <w:rsid w:val="003C4640"/>
    <w:rsid w:val="003C4A5B"/>
    <w:rsid w:val="003C4AD7"/>
    <w:rsid w:val="003C4BA5"/>
    <w:rsid w:val="003C552E"/>
    <w:rsid w:val="003C574C"/>
    <w:rsid w:val="003C69F8"/>
    <w:rsid w:val="003C79D1"/>
    <w:rsid w:val="003D081D"/>
    <w:rsid w:val="003D0EA9"/>
    <w:rsid w:val="003D0FED"/>
    <w:rsid w:val="003D1141"/>
    <w:rsid w:val="003D15EA"/>
    <w:rsid w:val="003D1BC6"/>
    <w:rsid w:val="003D1C3A"/>
    <w:rsid w:val="003D22D7"/>
    <w:rsid w:val="003D237D"/>
    <w:rsid w:val="003D30D6"/>
    <w:rsid w:val="003D3212"/>
    <w:rsid w:val="003D3903"/>
    <w:rsid w:val="003D41CF"/>
    <w:rsid w:val="003D4494"/>
    <w:rsid w:val="003D547F"/>
    <w:rsid w:val="003D5A8E"/>
    <w:rsid w:val="003D5C45"/>
    <w:rsid w:val="003D5CB3"/>
    <w:rsid w:val="003D5ECE"/>
    <w:rsid w:val="003D62DA"/>
    <w:rsid w:val="003D704E"/>
    <w:rsid w:val="003D75B6"/>
    <w:rsid w:val="003D78C6"/>
    <w:rsid w:val="003E0772"/>
    <w:rsid w:val="003E0E3B"/>
    <w:rsid w:val="003E16E1"/>
    <w:rsid w:val="003E1900"/>
    <w:rsid w:val="003E1ABE"/>
    <w:rsid w:val="003E1EE1"/>
    <w:rsid w:val="003E1FB2"/>
    <w:rsid w:val="003E263E"/>
    <w:rsid w:val="003E271C"/>
    <w:rsid w:val="003E2878"/>
    <w:rsid w:val="003E2E9F"/>
    <w:rsid w:val="003E3567"/>
    <w:rsid w:val="003E3BCC"/>
    <w:rsid w:val="003E44BB"/>
    <w:rsid w:val="003E50E6"/>
    <w:rsid w:val="003E59E5"/>
    <w:rsid w:val="003E5A8C"/>
    <w:rsid w:val="003E6181"/>
    <w:rsid w:val="003E66F2"/>
    <w:rsid w:val="003E6D1B"/>
    <w:rsid w:val="003E6DAB"/>
    <w:rsid w:val="003E706C"/>
    <w:rsid w:val="003E71D6"/>
    <w:rsid w:val="003E765E"/>
    <w:rsid w:val="003E7C45"/>
    <w:rsid w:val="003F0528"/>
    <w:rsid w:val="003F05D9"/>
    <w:rsid w:val="003F0AF2"/>
    <w:rsid w:val="003F210D"/>
    <w:rsid w:val="003F213D"/>
    <w:rsid w:val="003F2B58"/>
    <w:rsid w:val="003F2F5C"/>
    <w:rsid w:val="003F331F"/>
    <w:rsid w:val="003F3435"/>
    <w:rsid w:val="003F4303"/>
    <w:rsid w:val="003F448A"/>
    <w:rsid w:val="003F493D"/>
    <w:rsid w:val="003F5040"/>
    <w:rsid w:val="003F5069"/>
    <w:rsid w:val="003F5192"/>
    <w:rsid w:val="003F5456"/>
    <w:rsid w:val="003F5BD8"/>
    <w:rsid w:val="003F6A94"/>
    <w:rsid w:val="003F6C1A"/>
    <w:rsid w:val="003F702E"/>
    <w:rsid w:val="003F718E"/>
    <w:rsid w:val="003F7501"/>
    <w:rsid w:val="003F7551"/>
    <w:rsid w:val="003F7BE7"/>
    <w:rsid w:val="004006F8"/>
    <w:rsid w:val="00400F00"/>
    <w:rsid w:val="0040122B"/>
    <w:rsid w:val="00401392"/>
    <w:rsid w:val="004014D1"/>
    <w:rsid w:val="004017BB"/>
    <w:rsid w:val="00401EB7"/>
    <w:rsid w:val="00402062"/>
    <w:rsid w:val="00402BDA"/>
    <w:rsid w:val="0040315B"/>
    <w:rsid w:val="004031C3"/>
    <w:rsid w:val="004035D7"/>
    <w:rsid w:val="004036B1"/>
    <w:rsid w:val="00403C68"/>
    <w:rsid w:val="0040402B"/>
    <w:rsid w:val="004040BB"/>
    <w:rsid w:val="00404408"/>
    <w:rsid w:val="004044F8"/>
    <w:rsid w:val="00404C69"/>
    <w:rsid w:val="00404D78"/>
    <w:rsid w:val="00404E68"/>
    <w:rsid w:val="00404EBC"/>
    <w:rsid w:val="00405210"/>
    <w:rsid w:val="00407774"/>
    <w:rsid w:val="00407F6C"/>
    <w:rsid w:val="00410F5C"/>
    <w:rsid w:val="004113D9"/>
    <w:rsid w:val="004119F2"/>
    <w:rsid w:val="00412150"/>
    <w:rsid w:val="004122D8"/>
    <w:rsid w:val="0041264D"/>
    <w:rsid w:val="00412C70"/>
    <w:rsid w:val="00413540"/>
    <w:rsid w:val="00413A05"/>
    <w:rsid w:val="00413AE4"/>
    <w:rsid w:val="00414246"/>
    <w:rsid w:val="00414545"/>
    <w:rsid w:val="004145F1"/>
    <w:rsid w:val="00414756"/>
    <w:rsid w:val="004147FC"/>
    <w:rsid w:val="00414C04"/>
    <w:rsid w:val="00414CD0"/>
    <w:rsid w:val="00415915"/>
    <w:rsid w:val="00417734"/>
    <w:rsid w:val="00420006"/>
    <w:rsid w:val="00420704"/>
    <w:rsid w:val="00420B3B"/>
    <w:rsid w:val="00420DA3"/>
    <w:rsid w:val="00421692"/>
    <w:rsid w:val="00421904"/>
    <w:rsid w:val="00421999"/>
    <w:rsid w:val="00421D51"/>
    <w:rsid w:val="00421F4F"/>
    <w:rsid w:val="00421F8D"/>
    <w:rsid w:val="00422589"/>
    <w:rsid w:val="004230FE"/>
    <w:rsid w:val="00423A08"/>
    <w:rsid w:val="00423C2D"/>
    <w:rsid w:val="004240D4"/>
    <w:rsid w:val="004246D1"/>
    <w:rsid w:val="004247E0"/>
    <w:rsid w:val="00424E4B"/>
    <w:rsid w:val="0042589A"/>
    <w:rsid w:val="00425EF2"/>
    <w:rsid w:val="004265F5"/>
    <w:rsid w:val="0042691E"/>
    <w:rsid w:val="00426B04"/>
    <w:rsid w:val="00426C41"/>
    <w:rsid w:val="00426CF3"/>
    <w:rsid w:val="00427771"/>
    <w:rsid w:val="0042780F"/>
    <w:rsid w:val="00427909"/>
    <w:rsid w:val="00430053"/>
    <w:rsid w:val="0043071A"/>
    <w:rsid w:val="0043082A"/>
    <w:rsid w:val="00430A22"/>
    <w:rsid w:val="00431569"/>
    <w:rsid w:val="00431C01"/>
    <w:rsid w:val="0043357D"/>
    <w:rsid w:val="00433B5A"/>
    <w:rsid w:val="004340F2"/>
    <w:rsid w:val="004341AC"/>
    <w:rsid w:val="00434C95"/>
    <w:rsid w:val="0043524B"/>
    <w:rsid w:val="00436746"/>
    <w:rsid w:val="00436BE5"/>
    <w:rsid w:val="0043789D"/>
    <w:rsid w:val="00437B3C"/>
    <w:rsid w:val="00437EA0"/>
    <w:rsid w:val="00440A86"/>
    <w:rsid w:val="004414B0"/>
    <w:rsid w:val="004415AC"/>
    <w:rsid w:val="00441DEA"/>
    <w:rsid w:val="00442599"/>
    <w:rsid w:val="00443339"/>
    <w:rsid w:val="004435A1"/>
    <w:rsid w:val="00443952"/>
    <w:rsid w:val="00443B1C"/>
    <w:rsid w:val="0044450C"/>
    <w:rsid w:val="00444A9D"/>
    <w:rsid w:val="00445127"/>
    <w:rsid w:val="00445A34"/>
    <w:rsid w:val="00445A99"/>
    <w:rsid w:val="00445E96"/>
    <w:rsid w:val="00446C5C"/>
    <w:rsid w:val="0044745A"/>
    <w:rsid w:val="00447869"/>
    <w:rsid w:val="0045029E"/>
    <w:rsid w:val="004510EA"/>
    <w:rsid w:val="0045127A"/>
    <w:rsid w:val="0045149B"/>
    <w:rsid w:val="00451F35"/>
    <w:rsid w:val="004531F9"/>
    <w:rsid w:val="004532D7"/>
    <w:rsid w:val="004539C1"/>
    <w:rsid w:val="00453DCD"/>
    <w:rsid w:val="004553FB"/>
    <w:rsid w:val="00455879"/>
    <w:rsid w:val="00455903"/>
    <w:rsid w:val="0045696D"/>
    <w:rsid w:val="00456C16"/>
    <w:rsid w:val="00457389"/>
    <w:rsid w:val="00457E8C"/>
    <w:rsid w:val="0046073A"/>
    <w:rsid w:val="00460FC4"/>
    <w:rsid w:val="00461118"/>
    <w:rsid w:val="00462E6B"/>
    <w:rsid w:val="004638ED"/>
    <w:rsid w:val="00463A79"/>
    <w:rsid w:val="00463DD9"/>
    <w:rsid w:val="004640F5"/>
    <w:rsid w:val="00464497"/>
    <w:rsid w:val="0046487D"/>
    <w:rsid w:val="00464A04"/>
    <w:rsid w:val="004651C3"/>
    <w:rsid w:val="0046544E"/>
    <w:rsid w:val="00465895"/>
    <w:rsid w:val="00466330"/>
    <w:rsid w:val="00466A2A"/>
    <w:rsid w:val="00466E39"/>
    <w:rsid w:val="00466F35"/>
    <w:rsid w:val="004676DC"/>
    <w:rsid w:val="004678CC"/>
    <w:rsid w:val="00467C1B"/>
    <w:rsid w:val="00467E73"/>
    <w:rsid w:val="00467FF1"/>
    <w:rsid w:val="004702E2"/>
    <w:rsid w:val="004708F7"/>
    <w:rsid w:val="00470E41"/>
    <w:rsid w:val="004716ED"/>
    <w:rsid w:val="00472A09"/>
    <w:rsid w:val="00472D04"/>
    <w:rsid w:val="004730E2"/>
    <w:rsid w:val="00473101"/>
    <w:rsid w:val="00473498"/>
    <w:rsid w:val="00474BB0"/>
    <w:rsid w:val="004750C5"/>
    <w:rsid w:val="00475A13"/>
    <w:rsid w:val="00475BBE"/>
    <w:rsid w:val="004762EE"/>
    <w:rsid w:val="00476F52"/>
    <w:rsid w:val="004778CA"/>
    <w:rsid w:val="0047793A"/>
    <w:rsid w:val="00480004"/>
    <w:rsid w:val="0048001E"/>
    <w:rsid w:val="004814FB"/>
    <w:rsid w:val="0048274D"/>
    <w:rsid w:val="00482905"/>
    <w:rsid w:val="00482932"/>
    <w:rsid w:val="00482B27"/>
    <w:rsid w:val="0048323F"/>
    <w:rsid w:val="004843D9"/>
    <w:rsid w:val="00485379"/>
    <w:rsid w:val="00486869"/>
    <w:rsid w:val="004869CF"/>
    <w:rsid w:val="00486D4C"/>
    <w:rsid w:val="00487266"/>
    <w:rsid w:val="00487345"/>
    <w:rsid w:val="00487690"/>
    <w:rsid w:val="00490498"/>
    <w:rsid w:val="00490D6B"/>
    <w:rsid w:val="00494B85"/>
    <w:rsid w:val="004959FE"/>
    <w:rsid w:val="00495ADE"/>
    <w:rsid w:val="00495BD5"/>
    <w:rsid w:val="00497CCA"/>
    <w:rsid w:val="004A021D"/>
    <w:rsid w:val="004A0868"/>
    <w:rsid w:val="004A0D5C"/>
    <w:rsid w:val="004A1083"/>
    <w:rsid w:val="004A2236"/>
    <w:rsid w:val="004A2F6E"/>
    <w:rsid w:val="004A315B"/>
    <w:rsid w:val="004A397A"/>
    <w:rsid w:val="004A4115"/>
    <w:rsid w:val="004A4203"/>
    <w:rsid w:val="004A476B"/>
    <w:rsid w:val="004A493A"/>
    <w:rsid w:val="004A4A9B"/>
    <w:rsid w:val="004A4CC9"/>
    <w:rsid w:val="004A53E8"/>
    <w:rsid w:val="004A59D6"/>
    <w:rsid w:val="004A6077"/>
    <w:rsid w:val="004A6B02"/>
    <w:rsid w:val="004B0AF0"/>
    <w:rsid w:val="004B0E28"/>
    <w:rsid w:val="004B1596"/>
    <w:rsid w:val="004B1600"/>
    <w:rsid w:val="004B1692"/>
    <w:rsid w:val="004B2387"/>
    <w:rsid w:val="004B24BB"/>
    <w:rsid w:val="004B2950"/>
    <w:rsid w:val="004B2BFC"/>
    <w:rsid w:val="004B2D1A"/>
    <w:rsid w:val="004B2EF9"/>
    <w:rsid w:val="004B3709"/>
    <w:rsid w:val="004B39AA"/>
    <w:rsid w:val="004B3D57"/>
    <w:rsid w:val="004B3FAA"/>
    <w:rsid w:val="004B4668"/>
    <w:rsid w:val="004B4EBD"/>
    <w:rsid w:val="004B598F"/>
    <w:rsid w:val="004B5BD1"/>
    <w:rsid w:val="004B681C"/>
    <w:rsid w:val="004B6CD1"/>
    <w:rsid w:val="004B70B8"/>
    <w:rsid w:val="004B79D0"/>
    <w:rsid w:val="004B7EF8"/>
    <w:rsid w:val="004B7F5B"/>
    <w:rsid w:val="004C0EA6"/>
    <w:rsid w:val="004C1066"/>
    <w:rsid w:val="004C1A49"/>
    <w:rsid w:val="004C2854"/>
    <w:rsid w:val="004C2E40"/>
    <w:rsid w:val="004C3C45"/>
    <w:rsid w:val="004C3D86"/>
    <w:rsid w:val="004C43A2"/>
    <w:rsid w:val="004C4AF4"/>
    <w:rsid w:val="004C4C70"/>
    <w:rsid w:val="004C4E84"/>
    <w:rsid w:val="004C5667"/>
    <w:rsid w:val="004C5D50"/>
    <w:rsid w:val="004C5F24"/>
    <w:rsid w:val="004C636C"/>
    <w:rsid w:val="004C664D"/>
    <w:rsid w:val="004C6EB9"/>
    <w:rsid w:val="004C740C"/>
    <w:rsid w:val="004C7F93"/>
    <w:rsid w:val="004D015D"/>
    <w:rsid w:val="004D0377"/>
    <w:rsid w:val="004D2381"/>
    <w:rsid w:val="004D2ABB"/>
    <w:rsid w:val="004D36C3"/>
    <w:rsid w:val="004D3814"/>
    <w:rsid w:val="004D3D8C"/>
    <w:rsid w:val="004D4025"/>
    <w:rsid w:val="004D514C"/>
    <w:rsid w:val="004D5246"/>
    <w:rsid w:val="004D5719"/>
    <w:rsid w:val="004D5B21"/>
    <w:rsid w:val="004D6137"/>
    <w:rsid w:val="004D61BD"/>
    <w:rsid w:val="004D6768"/>
    <w:rsid w:val="004D68AA"/>
    <w:rsid w:val="004D76FD"/>
    <w:rsid w:val="004D7B9E"/>
    <w:rsid w:val="004E164C"/>
    <w:rsid w:val="004E1B73"/>
    <w:rsid w:val="004E2217"/>
    <w:rsid w:val="004E311A"/>
    <w:rsid w:val="004E4020"/>
    <w:rsid w:val="004E434F"/>
    <w:rsid w:val="004E43EE"/>
    <w:rsid w:val="004E46D0"/>
    <w:rsid w:val="004E4D1E"/>
    <w:rsid w:val="004E4EA2"/>
    <w:rsid w:val="004E5425"/>
    <w:rsid w:val="004E5A3F"/>
    <w:rsid w:val="004E660F"/>
    <w:rsid w:val="004E694F"/>
    <w:rsid w:val="004E7162"/>
    <w:rsid w:val="004E7AFC"/>
    <w:rsid w:val="004E7C8D"/>
    <w:rsid w:val="004F09CC"/>
    <w:rsid w:val="004F0FAB"/>
    <w:rsid w:val="004F1914"/>
    <w:rsid w:val="004F1AD4"/>
    <w:rsid w:val="004F2513"/>
    <w:rsid w:val="004F2C69"/>
    <w:rsid w:val="004F2C8A"/>
    <w:rsid w:val="004F2EEE"/>
    <w:rsid w:val="004F34CF"/>
    <w:rsid w:val="004F3773"/>
    <w:rsid w:val="004F5412"/>
    <w:rsid w:val="004F55D4"/>
    <w:rsid w:val="004F571C"/>
    <w:rsid w:val="004F610F"/>
    <w:rsid w:val="004F623F"/>
    <w:rsid w:val="004F627A"/>
    <w:rsid w:val="004F64E4"/>
    <w:rsid w:val="004F6EB6"/>
    <w:rsid w:val="00500469"/>
    <w:rsid w:val="00500E8B"/>
    <w:rsid w:val="005027BC"/>
    <w:rsid w:val="00502A81"/>
    <w:rsid w:val="00502ECA"/>
    <w:rsid w:val="005030A6"/>
    <w:rsid w:val="0050315B"/>
    <w:rsid w:val="005034F4"/>
    <w:rsid w:val="00503E02"/>
    <w:rsid w:val="00503F5F"/>
    <w:rsid w:val="0050473D"/>
    <w:rsid w:val="00504911"/>
    <w:rsid w:val="00504C5C"/>
    <w:rsid w:val="00504DB0"/>
    <w:rsid w:val="00505088"/>
    <w:rsid w:val="0050555E"/>
    <w:rsid w:val="005055E9"/>
    <w:rsid w:val="00505721"/>
    <w:rsid w:val="00505787"/>
    <w:rsid w:val="0050585D"/>
    <w:rsid w:val="00505937"/>
    <w:rsid w:val="00505D2B"/>
    <w:rsid w:val="00505D33"/>
    <w:rsid w:val="0050639C"/>
    <w:rsid w:val="0050692A"/>
    <w:rsid w:val="005071E3"/>
    <w:rsid w:val="005105B7"/>
    <w:rsid w:val="00510687"/>
    <w:rsid w:val="00510BEB"/>
    <w:rsid w:val="00510DEF"/>
    <w:rsid w:val="00510F5A"/>
    <w:rsid w:val="005113A5"/>
    <w:rsid w:val="00511D43"/>
    <w:rsid w:val="00512332"/>
    <w:rsid w:val="00512653"/>
    <w:rsid w:val="0051269A"/>
    <w:rsid w:val="005126BB"/>
    <w:rsid w:val="00512C60"/>
    <w:rsid w:val="00512D1C"/>
    <w:rsid w:val="00513C75"/>
    <w:rsid w:val="005142A1"/>
    <w:rsid w:val="0051447C"/>
    <w:rsid w:val="005146FB"/>
    <w:rsid w:val="0051482A"/>
    <w:rsid w:val="00514CA2"/>
    <w:rsid w:val="00515409"/>
    <w:rsid w:val="005157BD"/>
    <w:rsid w:val="00516401"/>
    <w:rsid w:val="00517829"/>
    <w:rsid w:val="00517B9C"/>
    <w:rsid w:val="0052066E"/>
    <w:rsid w:val="00520F7F"/>
    <w:rsid w:val="00521753"/>
    <w:rsid w:val="00522022"/>
    <w:rsid w:val="005221AD"/>
    <w:rsid w:val="005238F4"/>
    <w:rsid w:val="00523AC4"/>
    <w:rsid w:val="0052414F"/>
    <w:rsid w:val="00524158"/>
    <w:rsid w:val="005245A3"/>
    <w:rsid w:val="00524891"/>
    <w:rsid w:val="0052491E"/>
    <w:rsid w:val="00524C10"/>
    <w:rsid w:val="00524DCA"/>
    <w:rsid w:val="0052517A"/>
    <w:rsid w:val="005251C4"/>
    <w:rsid w:val="005257C1"/>
    <w:rsid w:val="00525A36"/>
    <w:rsid w:val="00527093"/>
    <w:rsid w:val="005278E0"/>
    <w:rsid w:val="00527C1F"/>
    <w:rsid w:val="00530BB3"/>
    <w:rsid w:val="00531260"/>
    <w:rsid w:val="005313D0"/>
    <w:rsid w:val="005315DF"/>
    <w:rsid w:val="00531D22"/>
    <w:rsid w:val="00531FD8"/>
    <w:rsid w:val="0053205B"/>
    <w:rsid w:val="0053213B"/>
    <w:rsid w:val="005321B6"/>
    <w:rsid w:val="00532230"/>
    <w:rsid w:val="00532242"/>
    <w:rsid w:val="0053255E"/>
    <w:rsid w:val="005327E4"/>
    <w:rsid w:val="005334FB"/>
    <w:rsid w:val="0053384F"/>
    <w:rsid w:val="005339D6"/>
    <w:rsid w:val="00533C93"/>
    <w:rsid w:val="0053433E"/>
    <w:rsid w:val="00534440"/>
    <w:rsid w:val="005347EA"/>
    <w:rsid w:val="00535362"/>
    <w:rsid w:val="00535B1A"/>
    <w:rsid w:val="00535D08"/>
    <w:rsid w:val="00535E72"/>
    <w:rsid w:val="0053601C"/>
    <w:rsid w:val="0053608A"/>
    <w:rsid w:val="00536C62"/>
    <w:rsid w:val="00537D13"/>
    <w:rsid w:val="00540531"/>
    <w:rsid w:val="00540DA8"/>
    <w:rsid w:val="0054157E"/>
    <w:rsid w:val="00541724"/>
    <w:rsid w:val="00541C4B"/>
    <w:rsid w:val="00541CA6"/>
    <w:rsid w:val="005438CC"/>
    <w:rsid w:val="00543A7D"/>
    <w:rsid w:val="00543BBB"/>
    <w:rsid w:val="00543C17"/>
    <w:rsid w:val="00544884"/>
    <w:rsid w:val="00544A6F"/>
    <w:rsid w:val="00544D17"/>
    <w:rsid w:val="00544D8C"/>
    <w:rsid w:val="00544DB7"/>
    <w:rsid w:val="005453B7"/>
    <w:rsid w:val="00545B70"/>
    <w:rsid w:val="00546409"/>
    <w:rsid w:val="00546C78"/>
    <w:rsid w:val="005472BE"/>
    <w:rsid w:val="00550918"/>
    <w:rsid w:val="005514B2"/>
    <w:rsid w:val="00551565"/>
    <w:rsid w:val="00551D6F"/>
    <w:rsid w:val="005525F0"/>
    <w:rsid w:val="00552C6F"/>
    <w:rsid w:val="00553059"/>
    <w:rsid w:val="00553A07"/>
    <w:rsid w:val="00553C3C"/>
    <w:rsid w:val="00553DBF"/>
    <w:rsid w:val="0055402F"/>
    <w:rsid w:val="0055442B"/>
    <w:rsid w:val="00554A2A"/>
    <w:rsid w:val="00554A46"/>
    <w:rsid w:val="00555C3B"/>
    <w:rsid w:val="00556944"/>
    <w:rsid w:val="00556C62"/>
    <w:rsid w:val="00556D71"/>
    <w:rsid w:val="00556F31"/>
    <w:rsid w:val="00557170"/>
    <w:rsid w:val="005571EB"/>
    <w:rsid w:val="00557452"/>
    <w:rsid w:val="00557804"/>
    <w:rsid w:val="00560C41"/>
    <w:rsid w:val="00561CD2"/>
    <w:rsid w:val="00562091"/>
    <w:rsid w:val="00563B67"/>
    <w:rsid w:val="00563C67"/>
    <w:rsid w:val="00564494"/>
    <w:rsid w:val="0056542E"/>
    <w:rsid w:val="00565B89"/>
    <w:rsid w:val="00566B64"/>
    <w:rsid w:val="00566BE6"/>
    <w:rsid w:val="00566F76"/>
    <w:rsid w:val="00567144"/>
    <w:rsid w:val="005671EA"/>
    <w:rsid w:val="00567842"/>
    <w:rsid w:val="00567D95"/>
    <w:rsid w:val="00567E7A"/>
    <w:rsid w:val="005711F9"/>
    <w:rsid w:val="005718E9"/>
    <w:rsid w:val="00571901"/>
    <w:rsid w:val="00571F05"/>
    <w:rsid w:val="005722D4"/>
    <w:rsid w:val="0057233C"/>
    <w:rsid w:val="00574014"/>
    <w:rsid w:val="005740C0"/>
    <w:rsid w:val="00574515"/>
    <w:rsid w:val="00574F94"/>
    <w:rsid w:val="005752D1"/>
    <w:rsid w:val="005753F5"/>
    <w:rsid w:val="00575930"/>
    <w:rsid w:val="00575B21"/>
    <w:rsid w:val="005760B8"/>
    <w:rsid w:val="005763DB"/>
    <w:rsid w:val="005764F1"/>
    <w:rsid w:val="0057724A"/>
    <w:rsid w:val="0057732F"/>
    <w:rsid w:val="00577499"/>
    <w:rsid w:val="00577BD8"/>
    <w:rsid w:val="00577E31"/>
    <w:rsid w:val="00580658"/>
    <w:rsid w:val="00580ECC"/>
    <w:rsid w:val="0058119B"/>
    <w:rsid w:val="0058263E"/>
    <w:rsid w:val="005827B0"/>
    <w:rsid w:val="005852EF"/>
    <w:rsid w:val="00585493"/>
    <w:rsid w:val="00585515"/>
    <w:rsid w:val="00586B9E"/>
    <w:rsid w:val="00586D91"/>
    <w:rsid w:val="00586E0E"/>
    <w:rsid w:val="00587A1E"/>
    <w:rsid w:val="00587F03"/>
    <w:rsid w:val="00590348"/>
    <w:rsid w:val="00590614"/>
    <w:rsid w:val="00590696"/>
    <w:rsid w:val="005906DB"/>
    <w:rsid w:val="00591B0C"/>
    <w:rsid w:val="00591EDA"/>
    <w:rsid w:val="005923B5"/>
    <w:rsid w:val="00592A9B"/>
    <w:rsid w:val="005940A4"/>
    <w:rsid w:val="0059478C"/>
    <w:rsid w:val="00594D21"/>
    <w:rsid w:val="00594FEC"/>
    <w:rsid w:val="00595BF4"/>
    <w:rsid w:val="005962F0"/>
    <w:rsid w:val="00596C61"/>
    <w:rsid w:val="00596D92"/>
    <w:rsid w:val="005A07C7"/>
    <w:rsid w:val="005A10DD"/>
    <w:rsid w:val="005A117B"/>
    <w:rsid w:val="005A1BCA"/>
    <w:rsid w:val="005A23FC"/>
    <w:rsid w:val="005A2445"/>
    <w:rsid w:val="005A244A"/>
    <w:rsid w:val="005A280B"/>
    <w:rsid w:val="005A2A13"/>
    <w:rsid w:val="005A2F7E"/>
    <w:rsid w:val="005A447C"/>
    <w:rsid w:val="005A4637"/>
    <w:rsid w:val="005A4E27"/>
    <w:rsid w:val="005A518F"/>
    <w:rsid w:val="005A55FC"/>
    <w:rsid w:val="005A5620"/>
    <w:rsid w:val="005A5648"/>
    <w:rsid w:val="005A5934"/>
    <w:rsid w:val="005A6D16"/>
    <w:rsid w:val="005A71B8"/>
    <w:rsid w:val="005A7688"/>
    <w:rsid w:val="005B0C9D"/>
    <w:rsid w:val="005B108E"/>
    <w:rsid w:val="005B1544"/>
    <w:rsid w:val="005B1762"/>
    <w:rsid w:val="005B2EB0"/>
    <w:rsid w:val="005B2FCC"/>
    <w:rsid w:val="005B2FEF"/>
    <w:rsid w:val="005B3476"/>
    <w:rsid w:val="005B42B4"/>
    <w:rsid w:val="005B4495"/>
    <w:rsid w:val="005B4AA5"/>
    <w:rsid w:val="005B503B"/>
    <w:rsid w:val="005B5631"/>
    <w:rsid w:val="005B5F61"/>
    <w:rsid w:val="005B63E5"/>
    <w:rsid w:val="005B697C"/>
    <w:rsid w:val="005B6AD2"/>
    <w:rsid w:val="005B6B07"/>
    <w:rsid w:val="005B6E7D"/>
    <w:rsid w:val="005C07CF"/>
    <w:rsid w:val="005C1103"/>
    <w:rsid w:val="005C1622"/>
    <w:rsid w:val="005C1D4C"/>
    <w:rsid w:val="005C2077"/>
    <w:rsid w:val="005C2377"/>
    <w:rsid w:val="005C297B"/>
    <w:rsid w:val="005C30CB"/>
    <w:rsid w:val="005C39A3"/>
    <w:rsid w:val="005C3B77"/>
    <w:rsid w:val="005C4162"/>
    <w:rsid w:val="005C46F7"/>
    <w:rsid w:val="005C4A56"/>
    <w:rsid w:val="005C506F"/>
    <w:rsid w:val="005C5116"/>
    <w:rsid w:val="005C528A"/>
    <w:rsid w:val="005C5F0C"/>
    <w:rsid w:val="005C69F7"/>
    <w:rsid w:val="005C6B98"/>
    <w:rsid w:val="005D092F"/>
    <w:rsid w:val="005D0A72"/>
    <w:rsid w:val="005D108A"/>
    <w:rsid w:val="005D11DC"/>
    <w:rsid w:val="005D1518"/>
    <w:rsid w:val="005D1815"/>
    <w:rsid w:val="005D2101"/>
    <w:rsid w:val="005D2458"/>
    <w:rsid w:val="005D24D5"/>
    <w:rsid w:val="005D275C"/>
    <w:rsid w:val="005D27A2"/>
    <w:rsid w:val="005D3578"/>
    <w:rsid w:val="005D390B"/>
    <w:rsid w:val="005D3E18"/>
    <w:rsid w:val="005D41C2"/>
    <w:rsid w:val="005D4921"/>
    <w:rsid w:val="005D5870"/>
    <w:rsid w:val="005D6223"/>
    <w:rsid w:val="005D66EF"/>
    <w:rsid w:val="005D675E"/>
    <w:rsid w:val="005D6D46"/>
    <w:rsid w:val="005D6F94"/>
    <w:rsid w:val="005D7C4B"/>
    <w:rsid w:val="005D7FD8"/>
    <w:rsid w:val="005E15AC"/>
    <w:rsid w:val="005E1969"/>
    <w:rsid w:val="005E22E8"/>
    <w:rsid w:val="005E24F3"/>
    <w:rsid w:val="005E263D"/>
    <w:rsid w:val="005E2800"/>
    <w:rsid w:val="005E2A51"/>
    <w:rsid w:val="005E2B20"/>
    <w:rsid w:val="005E2B9B"/>
    <w:rsid w:val="005E2BD6"/>
    <w:rsid w:val="005E3795"/>
    <w:rsid w:val="005E3BB7"/>
    <w:rsid w:val="005E3F56"/>
    <w:rsid w:val="005E4BF7"/>
    <w:rsid w:val="005E50F6"/>
    <w:rsid w:val="005E55A0"/>
    <w:rsid w:val="005E606B"/>
    <w:rsid w:val="005E6515"/>
    <w:rsid w:val="005E6894"/>
    <w:rsid w:val="005E6B4B"/>
    <w:rsid w:val="005E70A7"/>
    <w:rsid w:val="005E71FF"/>
    <w:rsid w:val="005E78D6"/>
    <w:rsid w:val="005F0462"/>
    <w:rsid w:val="005F0604"/>
    <w:rsid w:val="005F0B6F"/>
    <w:rsid w:val="005F0E9E"/>
    <w:rsid w:val="005F10E6"/>
    <w:rsid w:val="005F1532"/>
    <w:rsid w:val="005F15AE"/>
    <w:rsid w:val="005F17B7"/>
    <w:rsid w:val="005F189D"/>
    <w:rsid w:val="005F21A0"/>
    <w:rsid w:val="005F2CA8"/>
    <w:rsid w:val="005F30E6"/>
    <w:rsid w:val="005F36B6"/>
    <w:rsid w:val="005F3EE5"/>
    <w:rsid w:val="005F481D"/>
    <w:rsid w:val="005F4D37"/>
    <w:rsid w:val="005F4FCB"/>
    <w:rsid w:val="005F5114"/>
    <w:rsid w:val="005F54A8"/>
    <w:rsid w:val="005F605E"/>
    <w:rsid w:val="005F6188"/>
    <w:rsid w:val="005F6235"/>
    <w:rsid w:val="005F642B"/>
    <w:rsid w:val="005F665A"/>
    <w:rsid w:val="005F6BE8"/>
    <w:rsid w:val="005F6C78"/>
    <w:rsid w:val="005F76C3"/>
    <w:rsid w:val="005F7815"/>
    <w:rsid w:val="006000A5"/>
    <w:rsid w:val="006000DB"/>
    <w:rsid w:val="006001E7"/>
    <w:rsid w:val="00600244"/>
    <w:rsid w:val="00600433"/>
    <w:rsid w:val="00600673"/>
    <w:rsid w:val="00601605"/>
    <w:rsid w:val="00601E08"/>
    <w:rsid w:val="006027EB"/>
    <w:rsid w:val="00602A56"/>
    <w:rsid w:val="006031B8"/>
    <w:rsid w:val="00604123"/>
    <w:rsid w:val="006058D5"/>
    <w:rsid w:val="00605A7D"/>
    <w:rsid w:val="00605BF7"/>
    <w:rsid w:val="00605EE1"/>
    <w:rsid w:val="006060F7"/>
    <w:rsid w:val="00606F4C"/>
    <w:rsid w:val="0061017D"/>
    <w:rsid w:val="0061048C"/>
    <w:rsid w:val="006107E8"/>
    <w:rsid w:val="00610A33"/>
    <w:rsid w:val="00610BA2"/>
    <w:rsid w:val="00610C25"/>
    <w:rsid w:val="0061105E"/>
    <w:rsid w:val="00611358"/>
    <w:rsid w:val="00611618"/>
    <w:rsid w:val="006116EC"/>
    <w:rsid w:val="0061245F"/>
    <w:rsid w:val="00612476"/>
    <w:rsid w:val="006127CA"/>
    <w:rsid w:val="0061330E"/>
    <w:rsid w:val="0061352A"/>
    <w:rsid w:val="00613B9F"/>
    <w:rsid w:val="00613C71"/>
    <w:rsid w:val="0061524B"/>
    <w:rsid w:val="0061555E"/>
    <w:rsid w:val="006158DC"/>
    <w:rsid w:val="00615BAD"/>
    <w:rsid w:val="00616183"/>
    <w:rsid w:val="0061624F"/>
    <w:rsid w:val="00616795"/>
    <w:rsid w:val="00616C29"/>
    <w:rsid w:val="00616CCD"/>
    <w:rsid w:val="00616EA9"/>
    <w:rsid w:val="00616F12"/>
    <w:rsid w:val="006176B4"/>
    <w:rsid w:val="00617B42"/>
    <w:rsid w:val="0062008E"/>
    <w:rsid w:val="006203B0"/>
    <w:rsid w:val="0062070A"/>
    <w:rsid w:val="00621295"/>
    <w:rsid w:val="006212B1"/>
    <w:rsid w:val="006215B6"/>
    <w:rsid w:val="00621D58"/>
    <w:rsid w:val="00621DE8"/>
    <w:rsid w:val="006227E4"/>
    <w:rsid w:val="0062297C"/>
    <w:rsid w:val="006233DE"/>
    <w:rsid w:val="00624AA9"/>
    <w:rsid w:val="00624BBA"/>
    <w:rsid w:val="0062556F"/>
    <w:rsid w:val="006258B9"/>
    <w:rsid w:val="006261BC"/>
    <w:rsid w:val="0062645B"/>
    <w:rsid w:val="00626DAF"/>
    <w:rsid w:val="00627076"/>
    <w:rsid w:val="00627C1C"/>
    <w:rsid w:val="00627D94"/>
    <w:rsid w:val="00627DB4"/>
    <w:rsid w:val="00630A36"/>
    <w:rsid w:val="00630B81"/>
    <w:rsid w:val="006313EE"/>
    <w:rsid w:val="006319B7"/>
    <w:rsid w:val="00632295"/>
    <w:rsid w:val="00632EFE"/>
    <w:rsid w:val="00633014"/>
    <w:rsid w:val="00633D64"/>
    <w:rsid w:val="00634126"/>
    <w:rsid w:val="00634DE3"/>
    <w:rsid w:val="00634E45"/>
    <w:rsid w:val="00635195"/>
    <w:rsid w:val="006359CB"/>
    <w:rsid w:val="006366EA"/>
    <w:rsid w:val="00636A20"/>
    <w:rsid w:val="00636C19"/>
    <w:rsid w:val="006372AC"/>
    <w:rsid w:val="00637320"/>
    <w:rsid w:val="0063781C"/>
    <w:rsid w:val="00637FD4"/>
    <w:rsid w:val="006409B4"/>
    <w:rsid w:val="00640EDC"/>
    <w:rsid w:val="00641563"/>
    <w:rsid w:val="006416C4"/>
    <w:rsid w:val="006427A2"/>
    <w:rsid w:val="00642A2D"/>
    <w:rsid w:val="00642AF3"/>
    <w:rsid w:val="00643A74"/>
    <w:rsid w:val="00643BB0"/>
    <w:rsid w:val="00644B8C"/>
    <w:rsid w:val="00644FD3"/>
    <w:rsid w:val="00645CB3"/>
    <w:rsid w:val="00645DC5"/>
    <w:rsid w:val="0064619B"/>
    <w:rsid w:val="006475C6"/>
    <w:rsid w:val="006477C8"/>
    <w:rsid w:val="006501FD"/>
    <w:rsid w:val="0065062A"/>
    <w:rsid w:val="0065079E"/>
    <w:rsid w:val="00651B81"/>
    <w:rsid w:val="00651BC5"/>
    <w:rsid w:val="00651F54"/>
    <w:rsid w:val="00652A18"/>
    <w:rsid w:val="00653AAB"/>
    <w:rsid w:val="00653CB5"/>
    <w:rsid w:val="0065456C"/>
    <w:rsid w:val="00654753"/>
    <w:rsid w:val="00655013"/>
    <w:rsid w:val="00656444"/>
    <w:rsid w:val="00657416"/>
    <w:rsid w:val="00657D99"/>
    <w:rsid w:val="006603B7"/>
    <w:rsid w:val="00660461"/>
    <w:rsid w:val="00660698"/>
    <w:rsid w:val="00660734"/>
    <w:rsid w:val="00660CD7"/>
    <w:rsid w:val="00661097"/>
    <w:rsid w:val="00661836"/>
    <w:rsid w:val="00661A59"/>
    <w:rsid w:val="00661E13"/>
    <w:rsid w:val="00662C0D"/>
    <w:rsid w:val="00663C1F"/>
    <w:rsid w:val="00664650"/>
    <w:rsid w:val="00664A9B"/>
    <w:rsid w:val="006652BC"/>
    <w:rsid w:val="00665B5A"/>
    <w:rsid w:val="00666463"/>
    <w:rsid w:val="0066684C"/>
    <w:rsid w:val="00666E4C"/>
    <w:rsid w:val="006674B2"/>
    <w:rsid w:val="0066784C"/>
    <w:rsid w:val="006729A4"/>
    <w:rsid w:val="00672C76"/>
    <w:rsid w:val="00672F2A"/>
    <w:rsid w:val="0067320E"/>
    <w:rsid w:val="00673470"/>
    <w:rsid w:val="00673B5D"/>
    <w:rsid w:val="00673E3F"/>
    <w:rsid w:val="00674814"/>
    <w:rsid w:val="00675B2A"/>
    <w:rsid w:val="00676706"/>
    <w:rsid w:val="00676AA5"/>
    <w:rsid w:val="00676E12"/>
    <w:rsid w:val="00676F03"/>
    <w:rsid w:val="00677F0B"/>
    <w:rsid w:val="00680520"/>
    <w:rsid w:val="006810B5"/>
    <w:rsid w:val="00681550"/>
    <w:rsid w:val="00681596"/>
    <w:rsid w:val="00681A60"/>
    <w:rsid w:val="006822BB"/>
    <w:rsid w:val="0068243F"/>
    <w:rsid w:val="0068311A"/>
    <w:rsid w:val="00683197"/>
    <w:rsid w:val="006832DD"/>
    <w:rsid w:val="0068350E"/>
    <w:rsid w:val="00684A92"/>
    <w:rsid w:val="00685B79"/>
    <w:rsid w:val="00685E08"/>
    <w:rsid w:val="006860CB"/>
    <w:rsid w:val="0068669D"/>
    <w:rsid w:val="00686E8E"/>
    <w:rsid w:val="0068778C"/>
    <w:rsid w:val="006900FC"/>
    <w:rsid w:val="006909C8"/>
    <w:rsid w:val="00691B40"/>
    <w:rsid w:val="00691B61"/>
    <w:rsid w:val="00693B38"/>
    <w:rsid w:val="00693E8E"/>
    <w:rsid w:val="00694702"/>
    <w:rsid w:val="006967E5"/>
    <w:rsid w:val="0069739D"/>
    <w:rsid w:val="00697F49"/>
    <w:rsid w:val="006A0276"/>
    <w:rsid w:val="006A0292"/>
    <w:rsid w:val="006A0903"/>
    <w:rsid w:val="006A0D17"/>
    <w:rsid w:val="006A126B"/>
    <w:rsid w:val="006A17FD"/>
    <w:rsid w:val="006A1D4A"/>
    <w:rsid w:val="006A1E57"/>
    <w:rsid w:val="006A1FAD"/>
    <w:rsid w:val="006A258B"/>
    <w:rsid w:val="006A259D"/>
    <w:rsid w:val="006A2692"/>
    <w:rsid w:val="006A2955"/>
    <w:rsid w:val="006A2959"/>
    <w:rsid w:val="006A2FAD"/>
    <w:rsid w:val="006A31A5"/>
    <w:rsid w:val="006A323A"/>
    <w:rsid w:val="006A360F"/>
    <w:rsid w:val="006A3B50"/>
    <w:rsid w:val="006A3FC9"/>
    <w:rsid w:val="006A4299"/>
    <w:rsid w:val="006A5ED4"/>
    <w:rsid w:val="006A613D"/>
    <w:rsid w:val="006A6AED"/>
    <w:rsid w:val="006A7629"/>
    <w:rsid w:val="006A78BC"/>
    <w:rsid w:val="006A7933"/>
    <w:rsid w:val="006B0110"/>
    <w:rsid w:val="006B049A"/>
    <w:rsid w:val="006B04E9"/>
    <w:rsid w:val="006B0555"/>
    <w:rsid w:val="006B2898"/>
    <w:rsid w:val="006B382B"/>
    <w:rsid w:val="006B3B20"/>
    <w:rsid w:val="006B434E"/>
    <w:rsid w:val="006B53EE"/>
    <w:rsid w:val="006B769A"/>
    <w:rsid w:val="006B76F6"/>
    <w:rsid w:val="006B78F4"/>
    <w:rsid w:val="006B7C4C"/>
    <w:rsid w:val="006C0206"/>
    <w:rsid w:val="006C02DD"/>
    <w:rsid w:val="006C05B7"/>
    <w:rsid w:val="006C1235"/>
    <w:rsid w:val="006C1B61"/>
    <w:rsid w:val="006C1E9B"/>
    <w:rsid w:val="006C21DD"/>
    <w:rsid w:val="006C2604"/>
    <w:rsid w:val="006C277F"/>
    <w:rsid w:val="006C33B2"/>
    <w:rsid w:val="006C3617"/>
    <w:rsid w:val="006C3F59"/>
    <w:rsid w:val="006C4C03"/>
    <w:rsid w:val="006C4D5F"/>
    <w:rsid w:val="006C5B7C"/>
    <w:rsid w:val="006C5CC4"/>
    <w:rsid w:val="006C682D"/>
    <w:rsid w:val="006C69F5"/>
    <w:rsid w:val="006C72D9"/>
    <w:rsid w:val="006C74F7"/>
    <w:rsid w:val="006C758D"/>
    <w:rsid w:val="006C7623"/>
    <w:rsid w:val="006C77B6"/>
    <w:rsid w:val="006D0471"/>
    <w:rsid w:val="006D0527"/>
    <w:rsid w:val="006D12EF"/>
    <w:rsid w:val="006D144B"/>
    <w:rsid w:val="006D183E"/>
    <w:rsid w:val="006D3135"/>
    <w:rsid w:val="006D4291"/>
    <w:rsid w:val="006D4367"/>
    <w:rsid w:val="006D4C39"/>
    <w:rsid w:val="006D4F53"/>
    <w:rsid w:val="006D54BC"/>
    <w:rsid w:val="006D579F"/>
    <w:rsid w:val="006D5ABD"/>
    <w:rsid w:val="006D6A31"/>
    <w:rsid w:val="006D6AF6"/>
    <w:rsid w:val="006E0528"/>
    <w:rsid w:val="006E0802"/>
    <w:rsid w:val="006E0A50"/>
    <w:rsid w:val="006E0C12"/>
    <w:rsid w:val="006E1EB3"/>
    <w:rsid w:val="006E20FD"/>
    <w:rsid w:val="006E23BA"/>
    <w:rsid w:val="006E3AEF"/>
    <w:rsid w:val="006E4528"/>
    <w:rsid w:val="006E4714"/>
    <w:rsid w:val="006E4A3C"/>
    <w:rsid w:val="006E4F03"/>
    <w:rsid w:val="006E5A55"/>
    <w:rsid w:val="006E5A90"/>
    <w:rsid w:val="006E6C04"/>
    <w:rsid w:val="006E716A"/>
    <w:rsid w:val="006E71B3"/>
    <w:rsid w:val="006E72D3"/>
    <w:rsid w:val="006E7FD8"/>
    <w:rsid w:val="006F03E1"/>
    <w:rsid w:val="006F05D5"/>
    <w:rsid w:val="006F0AF9"/>
    <w:rsid w:val="006F0E3A"/>
    <w:rsid w:val="006F13D7"/>
    <w:rsid w:val="006F197A"/>
    <w:rsid w:val="006F1BED"/>
    <w:rsid w:val="006F1CCF"/>
    <w:rsid w:val="006F377A"/>
    <w:rsid w:val="006F39B5"/>
    <w:rsid w:val="006F3DA8"/>
    <w:rsid w:val="006F4136"/>
    <w:rsid w:val="006F43AD"/>
    <w:rsid w:val="006F488E"/>
    <w:rsid w:val="006F554B"/>
    <w:rsid w:val="006F579A"/>
    <w:rsid w:val="006F5A1A"/>
    <w:rsid w:val="006F63D9"/>
    <w:rsid w:val="006F6991"/>
    <w:rsid w:val="006F6A11"/>
    <w:rsid w:val="006F6C48"/>
    <w:rsid w:val="006F7519"/>
    <w:rsid w:val="006F7AD8"/>
    <w:rsid w:val="007005C1"/>
    <w:rsid w:val="00700985"/>
    <w:rsid w:val="007017AB"/>
    <w:rsid w:val="00701B11"/>
    <w:rsid w:val="0070256A"/>
    <w:rsid w:val="007032C1"/>
    <w:rsid w:val="00703478"/>
    <w:rsid w:val="007034E5"/>
    <w:rsid w:val="00703924"/>
    <w:rsid w:val="007040B2"/>
    <w:rsid w:val="007051E2"/>
    <w:rsid w:val="0070592D"/>
    <w:rsid w:val="00705A2E"/>
    <w:rsid w:val="007065DA"/>
    <w:rsid w:val="0070753A"/>
    <w:rsid w:val="00710143"/>
    <w:rsid w:val="00710D01"/>
    <w:rsid w:val="00710F2E"/>
    <w:rsid w:val="007117D5"/>
    <w:rsid w:val="0071181B"/>
    <w:rsid w:val="00711F0C"/>
    <w:rsid w:val="00712494"/>
    <w:rsid w:val="0071282D"/>
    <w:rsid w:val="007128DD"/>
    <w:rsid w:val="00712946"/>
    <w:rsid w:val="0071324B"/>
    <w:rsid w:val="00713434"/>
    <w:rsid w:val="00713535"/>
    <w:rsid w:val="00713E6F"/>
    <w:rsid w:val="00713F9F"/>
    <w:rsid w:val="00715791"/>
    <w:rsid w:val="00715974"/>
    <w:rsid w:val="00716BD1"/>
    <w:rsid w:val="00716C9D"/>
    <w:rsid w:val="00716E42"/>
    <w:rsid w:val="00717F9B"/>
    <w:rsid w:val="007200EA"/>
    <w:rsid w:val="00720CC9"/>
    <w:rsid w:val="00721617"/>
    <w:rsid w:val="00721ACF"/>
    <w:rsid w:val="0072203D"/>
    <w:rsid w:val="00723213"/>
    <w:rsid w:val="007235EC"/>
    <w:rsid w:val="0072364D"/>
    <w:rsid w:val="00724197"/>
    <w:rsid w:val="00724B0D"/>
    <w:rsid w:val="00724F44"/>
    <w:rsid w:val="0072519C"/>
    <w:rsid w:val="00725EA5"/>
    <w:rsid w:val="00726DF5"/>
    <w:rsid w:val="00727C1C"/>
    <w:rsid w:val="00727D14"/>
    <w:rsid w:val="00727DBB"/>
    <w:rsid w:val="0073056E"/>
    <w:rsid w:val="00731396"/>
    <w:rsid w:val="00731615"/>
    <w:rsid w:val="007319A1"/>
    <w:rsid w:val="00731A03"/>
    <w:rsid w:val="00732E6E"/>
    <w:rsid w:val="00733067"/>
    <w:rsid w:val="00733078"/>
    <w:rsid w:val="00733893"/>
    <w:rsid w:val="00734A7E"/>
    <w:rsid w:val="00734E02"/>
    <w:rsid w:val="007353D1"/>
    <w:rsid w:val="007358E2"/>
    <w:rsid w:val="00735A80"/>
    <w:rsid w:val="00735D53"/>
    <w:rsid w:val="00736040"/>
    <w:rsid w:val="00736887"/>
    <w:rsid w:val="0073724F"/>
    <w:rsid w:val="007375DB"/>
    <w:rsid w:val="00737EE8"/>
    <w:rsid w:val="00740107"/>
    <w:rsid w:val="00740401"/>
    <w:rsid w:val="007404C5"/>
    <w:rsid w:val="00740635"/>
    <w:rsid w:val="007406DE"/>
    <w:rsid w:val="007407FF"/>
    <w:rsid w:val="0074264F"/>
    <w:rsid w:val="0074271F"/>
    <w:rsid w:val="007427C2"/>
    <w:rsid w:val="0074280F"/>
    <w:rsid w:val="0074430F"/>
    <w:rsid w:val="00744EF0"/>
    <w:rsid w:val="0074724E"/>
    <w:rsid w:val="0074788C"/>
    <w:rsid w:val="00750D1C"/>
    <w:rsid w:val="00750FF4"/>
    <w:rsid w:val="00751251"/>
    <w:rsid w:val="00751798"/>
    <w:rsid w:val="0075191B"/>
    <w:rsid w:val="0075267B"/>
    <w:rsid w:val="00753199"/>
    <w:rsid w:val="00753387"/>
    <w:rsid w:val="00754624"/>
    <w:rsid w:val="00754BAF"/>
    <w:rsid w:val="00754E9B"/>
    <w:rsid w:val="0075570F"/>
    <w:rsid w:val="00755771"/>
    <w:rsid w:val="00755C26"/>
    <w:rsid w:val="0075637A"/>
    <w:rsid w:val="00756C00"/>
    <w:rsid w:val="007576CF"/>
    <w:rsid w:val="00757953"/>
    <w:rsid w:val="00757F6B"/>
    <w:rsid w:val="0076070A"/>
    <w:rsid w:val="00761088"/>
    <w:rsid w:val="0076129A"/>
    <w:rsid w:val="00761BDC"/>
    <w:rsid w:val="00761C12"/>
    <w:rsid w:val="00763E9B"/>
    <w:rsid w:val="007640FF"/>
    <w:rsid w:val="0076495C"/>
    <w:rsid w:val="00764F8D"/>
    <w:rsid w:val="007662A3"/>
    <w:rsid w:val="00766371"/>
    <w:rsid w:val="0076670A"/>
    <w:rsid w:val="00766891"/>
    <w:rsid w:val="00766D2A"/>
    <w:rsid w:val="0076732B"/>
    <w:rsid w:val="00767D0D"/>
    <w:rsid w:val="00770E78"/>
    <w:rsid w:val="00770EFF"/>
    <w:rsid w:val="007714D4"/>
    <w:rsid w:val="0077158C"/>
    <w:rsid w:val="00771928"/>
    <w:rsid w:val="0077225F"/>
    <w:rsid w:val="007722E7"/>
    <w:rsid w:val="007727FB"/>
    <w:rsid w:val="00772E5E"/>
    <w:rsid w:val="00773176"/>
    <w:rsid w:val="0077326B"/>
    <w:rsid w:val="00773384"/>
    <w:rsid w:val="00773478"/>
    <w:rsid w:val="0077393E"/>
    <w:rsid w:val="007740A9"/>
    <w:rsid w:val="007767BC"/>
    <w:rsid w:val="00776E3E"/>
    <w:rsid w:val="00776EEB"/>
    <w:rsid w:val="007770E3"/>
    <w:rsid w:val="007775BC"/>
    <w:rsid w:val="00777762"/>
    <w:rsid w:val="00777792"/>
    <w:rsid w:val="00777CA1"/>
    <w:rsid w:val="00777CFB"/>
    <w:rsid w:val="00777F56"/>
    <w:rsid w:val="0078030E"/>
    <w:rsid w:val="00780939"/>
    <w:rsid w:val="00780D66"/>
    <w:rsid w:val="00780D88"/>
    <w:rsid w:val="00780EA5"/>
    <w:rsid w:val="0078152A"/>
    <w:rsid w:val="007816A0"/>
    <w:rsid w:val="00781862"/>
    <w:rsid w:val="00781CA3"/>
    <w:rsid w:val="00781E81"/>
    <w:rsid w:val="00782113"/>
    <w:rsid w:val="0078238D"/>
    <w:rsid w:val="007823B7"/>
    <w:rsid w:val="00782CB1"/>
    <w:rsid w:val="007833C3"/>
    <w:rsid w:val="00783758"/>
    <w:rsid w:val="00784E08"/>
    <w:rsid w:val="007852C7"/>
    <w:rsid w:val="007874A8"/>
    <w:rsid w:val="00787A56"/>
    <w:rsid w:val="00790921"/>
    <w:rsid w:val="007910F9"/>
    <w:rsid w:val="00791433"/>
    <w:rsid w:val="00791C81"/>
    <w:rsid w:val="00791EBF"/>
    <w:rsid w:val="00792D02"/>
    <w:rsid w:val="00792DF9"/>
    <w:rsid w:val="007945F8"/>
    <w:rsid w:val="007953F6"/>
    <w:rsid w:val="00795AD7"/>
    <w:rsid w:val="00795DCA"/>
    <w:rsid w:val="00795FF6"/>
    <w:rsid w:val="0079643B"/>
    <w:rsid w:val="007967B5"/>
    <w:rsid w:val="0079682A"/>
    <w:rsid w:val="00796914"/>
    <w:rsid w:val="00796D6D"/>
    <w:rsid w:val="00797366"/>
    <w:rsid w:val="00797860"/>
    <w:rsid w:val="00797AC4"/>
    <w:rsid w:val="00797DF1"/>
    <w:rsid w:val="007A058D"/>
    <w:rsid w:val="007A0E48"/>
    <w:rsid w:val="007A1372"/>
    <w:rsid w:val="007A1AD2"/>
    <w:rsid w:val="007A1CD0"/>
    <w:rsid w:val="007A2149"/>
    <w:rsid w:val="007A29F5"/>
    <w:rsid w:val="007A2E0E"/>
    <w:rsid w:val="007A3635"/>
    <w:rsid w:val="007A41F0"/>
    <w:rsid w:val="007A4B6B"/>
    <w:rsid w:val="007A5794"/>
    <w:rsid w:val="007A5A4E"/>
    <w:rsid w:val="007A5CAA"/>
    <w:rsid w:val="007A6349"/>
    <w:rsid w:val="007A6758"/>
    <w:rsid w:val="007A6FDD"/>
    <w:rsid w:val="007A732F"/>
    <w:rsid w:val="007A75C2"/>
    <w:rsid w:val="007A7A9B"/>
    <w:rsid w:val="007A7ED7"/>
    <w:rsid w:val="007B0527"/>
    <w:rsid w:val="007B0954"/>
    <w:rsid w:val="007B2868"/>
    <w:rsid w:val="007B4C39"/>
    <w:rsid w:val="007B4FC1"/>
    <w:rsid w:val="007B50F3"/>
    <w:rsid w:val="007B5FB2"/>
    <w:rsid w:val="007B6120"/>
    <w:rsid w:val="007B654B"/>
    <w:rsid w:val="007B6BDF"/>
    <w:rsid w:val="007B6D45"/>
    <w:rsid w:val="007B7F34"/>
    <w:rsid w:val="007C009B"/>
    <w:rsid w:val="007C12AC"/>
    <w:rsid w:val="007C1B02"/>
    <w:rsid w:val="007C3B19"/>
    <w:rsid w:val="007C3EC7"/>
    <w:rsid w:val="007C41CA"/>
    <w:rsid w:val="007C4B76"/>
    <w:rsid w:val="007C5020"/>
    <w:rsid w:val="007C5928"/>
    <w:rsid w:val="007C596A"/>
    <w:rsid w:val="007C636B"/>
    <w:rsid w:val="007C65A2"/>
    <w:rsid w:val="007C70EC"/>
    <w:rsid w:val="007C7139"/>
    <w:rsid w:val="007C7AB7"/>
    <w:rsid w:val="007D0E4E"/>
    <w:rsid w:val="007D130A"/>
    <w:rsid w:val="007D1998"/>
    <w:rsid w:val="007D1E84"/>
    <w:rsid w:val="007D2175"/>
    <w:rsid w:val="007D2366"/>
    <w:rsid w:val="007D273E"/>
    <w:rsid w:val="007D2D8A"/>
    <w:rsid w:val="007D36CB"/>
    <w:rsid w:val="007D3CE7"/>
    <w:rsid w:val="007D3F25"/>
    <w:rsid w:val="007D48F5"/>
    <w:rsid w:val="007D4A84"/>
    <w:rsid w:val="007D4C7A"/>
    <w:rsid w:val="007D50B3"/>
    <w:rsid w:val="007D52FB"/>
    <w:rsid w:val="007D547B"/>
    <w:rsid w:val="007D56DD"/>
    <w:rsid w:val="007D5E19"/>
    <w:rsid w:val="007D6772"/>
    <w:rsid w:val="007D694E"/>
    <w:rsid w:val="007D6ACD"/>
    <w:rsid w:val="007D6F92"/>
    <w:rsid w:val="007D78A4"/>
    <w:rsid w:val="007D7B61"/>
    <w:rsid w:val="007E0139"/>
    <w:rsid w:val="007E03F2"/>
    <w:rsid w:val="007E0FAA"/>
    <w:rsid w:val="007E11AA"/>
    <w:rsid w:val="007E1743"/>
    <w:rsid w:val="007E1878"/>
    <w:rsid w:val="007E18CD"/>
    <w:rsid w:val="007E271A"/>
    <w:rsid w:val="007E28D8"/>
    <w:rsid w:val="007E290D"/>
    <w:rsid w:val="007E2B6F"/>
    <w:rsid w:val="007E2C40"/>
    <w:rsid w:val="007E2F8F"/>
    <w:rsid w:val="007E33F0"/>
    <w:rsid w:val="007E3E65"/>
    <w:rsid w:val="007E4766"/>
    <w:rsid w:val="007E531C"/>
    <w:rsid w:val="007E7100"/>
    <w:rsid w:val="007E791A"/>
    <w:rsid w:val="007E799F"/>
    <w:rsid w:val="007F01AA"/>
    <w:rsid w:val="007F0562"/>
    <w:rsid w:val="007F0ACF"/>
    <w:rsid w:val="007F0CD2"/>
    <w:rsid w:val="007F0D83"/>
    <w:rsid w:val="007F0DBC"/>
    <w:rsid w:val="007F1370"/>
    <w:rsid w:val="007F237D"/>
    <w:rsid w:val="007F30DA"/>
    <w:rsid w:val="007F3A01"/>
    <w:rsid w:val="007F3DB0"/>
    <w:rsid w:val="007F417E"/>
    <w:rsid w:val="007F426C"/>
    <w:rsid w:val="007F51C0"/>
    <w:rsid w:val="007F5D20"/>
    <w:rsid w:val="007F73F2"/>
    <w:rsid w:val="007F7662"/>
    <w:rsid w:val="007F7726"/>
    <w:rsid w:val="007F7899"/>
    <w:rsid w:val="00801346"/>
    <w:rsid w:val="00801AAE"/>
    <w:rsid w:val="00801FE5"/>
    <w:rsid w:val="00802074"/>
    <w:rsid w:val="008027AD"/>
    <w:rsid w:val="00802B1B"/>
    <w:rsid w:val="008031CC"/>
    <w:rsid w:val="00803653"/>
    <w:rsid w:val="0080496F"/>
    <w:rsid w:val="00804D30"/>
    <w:rsid w:val="0080541F"/>
    <w:rsid w:val="008056A9"/>
    <w:rsid w:val="00805E8C"/>
    <w:rsid w:val="00805EAD"/>
    <w:rsid w:val="00806050"/>
    <w:rsid w:val="008070ED"/>
    <w:rsid w:val="008072FA"/>
    <w:rsid w:val="00810731"/>
    <w:rsid w:val="00811C1C"/>
    <w:rsid w:val="0081243B"/>
    <w:rsid w:val="00812C94"/>
    <w:rsid w:val="00812CE5"/>
    <w:rsid w:val="0081302F"/>
    <w:rsid w:val="0081309F"/>
    <w:rsid w:val="00813556"/>
    <w:rsid w:val="0081379F"/>
    <w:rsid w:val="00813835"/>
    <w:rsid w:val="008138AC"/>
    <w:rsid w:val="00813A82"/>
    <w:rsid w:val="00813C22"/>
    <w:rsid w:val="00813D2B"/>
    <w:rsid w:val="00813E81"/>
    <w:rsid w:val="00814317"/>
    <w:rsid w:val="00814714"/>
    <w:rsid w:val="00814F0F"/>
    <w:rsid w:val="008158E6"/>
    <w:rsid w:val="00815AC3"/>
    <w:rsid w:val="00815CE1"/>
    <w:rsid w:val="008161B7"/>
    <w:rsid w:val="0081652F"/>
    <w:rsid w:val="00816CBB"/>
    <w:rsid w:val="00816CFC"/>
    <w:rsid w:val="00817721"/>
    <w:rsid w:val="00820E1C"/>
    <w:rsid w:val="0082231C"/>
    <w:rsid w:val="00822707"/>
    <w:rsid w:val="0082398C"/>
    <w:rsid w:val="008239DB"/>
    <w:rsid w:val="00824114"/>
    <w:rsid w:val="00824AA0"/>
    <w:rsid w:val="00824DB2"/>
    <w:rsid w:val="00825D2D"/>
    <w:rsid w:val="00826480"/>
    <w:rsid w:val="0082675C"/>
    <w:rsid w:val="00827EFB"/>
    <w:rsid w:val="00827F6E"/>
    <w:rsid w:val="0083025C"/>
    <w:rsid w:val="00830FCB"/>
    <w:rsid w:val="00831519"/>
    <w:rsid w:val="0083171E"/>
    <w:rsid w:val="008317CB"/>
    <w:rsid w:val="00831876"/>
    <w:rsid w:val="00831E0B"/>
    <w:rsid w:val="0083238C"/>
    <w:rsid w:val="008327AF"/>
    <w:rsid w:val="00834373"/>
    <w:rsid w:val="00834DC5"/>
    <w:rsid w:val="00835110"/>
    <w:rsid w:val="0083616D"/>
    <w:rsid w:val="00836328"/>
    <w:rsid w:val="0083744F"/>
    <w:rsid w:val="0083754B"/>
    <w:rsid w:val="00837ACD"/>
    <w:rsid w:val="00837BDE"/>
    <w:rsid w:val="00840BBF"/>
    <w:rsid w:val="0084148C"/>
    <w:rsid w:val="008418D2"/>
    <w:rsid w:val="00841BCB"/>
    <w:rsid w:val="008425F6"/>
    <w:rsid w:val="00842720"/>
    <w:rsid w:val="00842A03"/>
    <w:rsid w:val="0084324F"/>
    <w:rsid w:val="0084325E"/>
    <w:rsid w:val="008437E1"/>
    <w:rsid w:val="00843AC1"/>
    <w:rsid w:val="00843B77"/>
    <w:rsid w:val="0084416A"/>
    <w:rsid w:val="008446F9"/>
    <w:rsid w:val="0084476D"/>
    <w:rsid w:val="008447B9"/>
    <w:rsid w:val="0084590A"/>
    <w:rsid w:val="0084594E"/>
    <w:rsid w:val="00845B9C"/>
    <w:rsid w:val="008469C1"/>
    <w:rsid w:val="00847054"/>
    <w:rsid w:val="008475BD"/>
    <w:rsid w:val="00847D2A"/>
    <w:rsid w:val="00847EA0"/>
    <w:rsid w:val="00847EFC"/>
    <w:rsid w:val="008502C2"/>
    <w:rsid w:val="0085031C"/>
    <w:rsid w:val="00850FA6"/>
    <w:rsid w:val="00851237"/>
    <w:rsid w:val="00851419"/>
    <w:rsid w:val="00851F5E"/>
    <w:rsid w:val="00852235"/>
    <w:rsid w:val="008525D3"/>
    <w:rsid w:val="008533C6"/>
    <w:rsid w:val="00853810"/>
    <w:rsid w:val="00853BDE"/>
    <w:rsid w:val="00854123"/>
    <w:rsid w:val="0085421F"/>
    <w:rsid w:val="008549D3"/>
    <w:rsid w:val="008556C6"/>
    <w:rsid w:val="00855826"/>
    <w:rsid w:val="00855AE9"/>
    <w:rsid w:val="00856739"/>
    <w:rsid w:val="00857057"/>
    <w:rsid w:val="0085719D"/>
    <w:rsid w:val="00857B35"/>
    <w:rsid w:val="008601AF"/>
    <w:rsid w:val="008608EA"/>
    <w:rsid w:val="00860EAE"/>
    <w:rsid w:val="008613C5"/>
    <w:rsid w:val="008614E2"/>
    <w:rsid w:val="00861AFF"/>
    <w:rsid w:val="008632AF"/>
    <w:rsid w:val="00863551"/>
    <w:rsid w:val="008636B1"/>
    <w:rsid w:val="00863AF2"/>
    <w:rsid w:val="00864D62"/>
    <w:rsid w:val="0086572D"/>
    <w:rsid w:val="00866AE5"/>
    <w:rsid w:val="0086731D"/>
    <w:rsid w:val="00867674"/>
    <w:rsid w:val="00867A3A"/>
    <w:rsid w:val="00867D0D"/>
    <w:rsid w:val="008700DD"/>
    <w:rsid w:val="00870A0D"/>
    <w:rsid w:val="00870E7E"/>
    <w:rsid w:val="00871F4A"/>
    <w:rsid w:val="0087289D"/>
    <w:rsid w:val="008728B5"/>
    <w:rsid w:val="00872D27"/>
    <w:rsid w:val="0087369F"/>
    <w:rsid w:val="00873805"/>
    <w:rsid w:val="00873F37"/>
    <w:rsid w:val="008745AF"/>
    <w:rsid w:val="00874D96"/>
    <w:rsid w:val="008755AA"/>
    <w:rsid w:val="00875F36"/>
    <w:rsid w:val="0087740C"/>
    <w:rsid w:val="008777E8"/>
    <w:rsid w:val="00880FF7"/>
    <w:rsid w:val="00881075"/>
    <w:rsid w:val="00881637"/>
    <w:rsid w:val="00881834"/>
    <w:rsid w:val="00881A64"/>
    <w:rsid w:val="00881E8E"/>
    <w:rsid w:val="008825E5"/>
    <w:rsid w:val="00882E0E"/>
    <w:rsid w:val="00882E3C"/>
    <w:rsid w:val="008832B2"/>
    <w:rsid w:val="0088410D"/>
    <w:rsid w:val="008848AE"/>
    <w:rsid w:val="00884DE6"/>
    <w:rsid w:val="00885014"/>
    <w:rsid w:val="00885176"/>
    <w:rsid w:val="008854CB"/>
    <w:rsid w:val="00885759"/>
    <w:rsid w:val="00885B69"/>
    <w:rsid w:val="008872B3"/>
    <w:rsid w:val="00891FE6"/>
    <w:rsid w:val="00892F84"/>
    <w:rsid w:val="0089359D"/>
    <w:rsid w:val="00893CA6"/>
    <w:rsid w:val="0089481B"/>
    <w:rsid w:val="00895373"/>
    <w:rsid w:val="00895BEC"/>
    <w:rsid w:val="00895EA3"/>
    <w:rsid w:val="00895FF5"/>
    <w:rsid w:val="00896C29"/>
    <w:rsid w:val="008A0786"/>
    <w:rsid w:val="008A0A24"/>
    <w:rsid w:val="008A0BFA"/>
    <w:rsid w:val="008A0BFE"/>
    <w:rsid w:val="008A13D1"/>
    <w:rsid w:val="008A2B00"/>
    <w:rsid w:val="008A2E35"/>
    <w:rsid w:val="008A3744"/>
    <w:rsid w:val="008A377D"/>
    <w:rsid w:val="008A3D50"/>
    <w:rsid w:val="008A4063"/>
    <w:rsid w:val="008A4199"/>
    <w:rsid w:val="008A4D62"/>
    <w:rsid w:val="008A4DBE"/>
    <w:rsid w:val="008A530B"/>
    <w:rsid w:val="008A5794"/>
    <w:rsid w:val="008A5865"/>
    <w:rsid w:val="008A5AB1"/>
    <w:rsid w:val="008A5FAA"/>
    <w:rsid w:val="008A61CB"/>
    <w:rsid w:val="008A63D0"/>
    <w:rsid w:val="008A673B"/>
    <w:rsid w:val="008A6D6F"/>
    <w:rsid w:val="008A6E3C"/>
    <w:rsid w:val="008A7C20"/>
    <w:rsid w:val="008B01CF"/>
    <w:rsid w:val="008B07B1"/>
    <w:rsid w:val="008B1024"/>
    <w:rsid w:val="008B1880"/>
    <w:rsid w:val="008B2245"/>
    <w:rsid w:val="008B2410"/>
    <w:rsid w:val="008B3164"/>
    <w:rsid w:val="008B3206"/>
    <w:rsid w:val="008B335D"/>
    <w:rsid w:val="008B483E"/>
    <w:rsid w:val="008B4C73"/>
    <w:rsid w:val="008B50F6"/>
    <w:rsid w:val="008B551E"/>
    <w:rsid w:val="008B558F"/>
    <w:rsid w:val="008B596A"/>
    <w:rsid w:val="008B5D55"/>
    <w:rsid w:val="008B61B3"/>
    <w:rsid w:val="008B6AFD"/>
    <w:rsid w:val="008B70FA"/>
    <w:rsid w:val="008B7A71"/>
    <w:rsid w:val="008B7DE8"/>
    <w:rsid w:val="008B7E3A"/>
    <w:rsid w:val="008C0542"/>
    <w:rsid w:val="008C0585"/>
    <w:rsid w:val="008C0AD7"/>
    <w:rsid w:val="008C1D3C"/>
    <w:rsid w:val="008C34EF"/>
    <w:rsid w:val="008C4296"/>
    <w:rsid w:val="008C457C"/>
    <w:rsid w:val="008C464F"/>
    <w:rsid w:val="008C46B3"/>
    <w:rsid w:val="008C490A"/>
    <w:rsid w:val="008C521F"/>
    <w:rsid w:val="008C5ABC"/>
    <w:rsid w:val="008C6255"/>
    <w:rsid w:val="008C6263"/>
    <w:rsid w:val="008C632F"/>
    <w:rsid w:val="008C64D0"/>
    <w:rsid w:val="008C712E"/>
    <w:rsid w:val="008C799D"/>
    <w:rsid w:val="008C7BC7"/>
    <w:rsid w:val="008D0021"/>
    <w:rsid w:val="008D008D"/>
    <w:rsid w:val="008D0934"/>
    <w:rsid w:val="008D2A27"/>
    <w:rsid w:val="008D4676"/>
    <w:rsid w:val="008D48AB"/>
    <w:rsid w:val="008D4B05"/>
    <w:rsid w:val="008D5116"/>
    <w:rsid w:val="008D542E"/>
    <w:rsid w:val="008D5955"/>
    <w:rsid w:val="008D6611"/>
    <w:rsid w:val="008D6641"/>
    <w:rsid w:val="008D6CF2"/>
    <w:rsid w:val="008D7308"/>
    <w:rsid w:val="008D7BD7"/>
    <w:rsid w:val="008E080C"/>
    <w:rsid w:val="008E0A03"/>
    <w:rsid w:val="008E0D19"/>
    <w:rsid w:val="008E171C"/>
    <w:rsid w:val="008E20EB"/>
    <w:rsid w:val="008E22D7"/>
    <w:rsid w:val="008E2F4E"/>
    <w:rsid w:val="008E306F"/>
    <w:rsid w:val="008E382D"/>
    <w:rsid w:val="008E43FF"/>
    <w:rsid w:val="008E4A1F"/>
    <w:rsid w:val="008E4CE5"/>
    <w:rsid w:val="008E5BFB"/>
    <w:rsid w:val="008E6188"/>
    <w:rsid w:val="008E661F"/>
    <w:rsid w:val="008E6C97"/>
    <w:rsid w:val="008E6D46"/>
    <w:rsid w:val="008E6EBB"/>
    <w:rsid w:val="008E73C4"/>
    <w:rsid w:val="008F05BE"/>
    <w:rsid w:val="008F0CF1"/>
    <w:rsid w:val="008F0E1D"/>
    <w:rsid w:val="008F103D"/>
    <w:rsid w:val="008F1052"/>
    <w:rsid w:val="008F1924"/>
    <w:rsid w:val="008F2244"/>
    <w:rsid w:val="008F2770"/>
    <w:rsid w:val="008F2ABC"/>
    <w:rsid w:val="008F2AF2"/>
    <w:rsid w:val="008F2C17"/>
    <w:rsid w:val="008F3321"/>
    <w:rsid w:val="008F349A"/>
    <w:rsid w:val="008F3700"/>
    <w:rsid w:val="008F4DB0"/>
    <w:rsid w:val="008F5210"/>
    <w:rsid w:val="008F62D1"/>
    <w:rsid w:val="008F642A"/>
    <w:rsid w:val="008F6AB7"/>
    <w:rsid w:val="008F6BCA"/>
    <w:rsid w:val="008F6DF9"/>
    <w:rsid w:val="008F6FFE"/>
    <w:rsid w:val="008F70EF"/>
    <w:rsid w:val="008F79DA"/>
    <w:rsid w:val="008F7AFB"/>
    <w:rsid w:val="008F7C6A"/>
    <w:rsid w:val="009000AE"/>
    <w:rsid w:val="00900506"/>
    <w:rsid w:val="00900FE2"/>
    <w:rsid w:val="009014EA"/>
    <w:rsid w:val="00901591"/>
    <w:rsid w:val="00901BBF"/>
    <w:rsid w:val="00902195"/>
    <w:rsid w:val="00902309"/>
    <w:rsid w:val="00902835"/>
    <w:rsid w:val="009032A8"/>
    <w:rsid w:val="0090332E"/>
    <w:rsid w:val="009039A6"/>
    <w:rsid w:val="00903F25"/>
    <w:rsid w:val="00904FA3"/>
    <w:rsid w:val="009062E0"/>
    <w:rsid w:val="00906C23"/>
    <w:rsid w:val="00906E42"/>
    <w:rsid w:val="00907189"/>
    <w:rsid w:val="00907393"/>
    <w:rsid w:val="00907C77"/>
    <w:rsid w:val="00910144"/>
    <w:rsid w:val="00911E3F"/>
    <w:rsid w:val="009126E0"/>
    <w:rsid w:val="009129A0"/>
    <w:rsid w:val="00913DF6"/>
    <w:rsid w:val="009150F0"/>
    <w:rsid w:val="009152E4"/>
    <w:rsid w:val="009159B1"/>
    <w:rsid w:val="00915BCD"/>
    <w:rsid w:val="00915E9C"/>
    <w:rsid w:val="00915F3C"/>
    <w:rsid w:val="00916ED7"/>
    <w:rsid w:val="009172C0"/>
    <w:rsid w:val="009178BB"/>
    <w:rsid w:val="00917B50"/>
    <w:rsid w:val="00920BB3"/>
    <w:rsid w:val="0092160A"/>
    <w:rsid w:val="00921A20"/>
    <w:rsid w:val="009220AD"/>
    <w:rsid w:val="00922CF4"/>
    <w:rsid w:val="00922E12"/>
    <w:rsid w:val="009242B5"/>
    <w:rsid w:val="009248E7"/>
    <w:rsid w:val="00924A24"/>
    <w:rsid w:val="00924C63"/>
    <w:rsid w:val="00924F3E"/>
    <w:rsid w:val="00925027"/>
    <w:rsid w:val="0092512F"/>
    <w:rsid w:val="00926884"/>
    <w:rsid w:val="00926903"/>
    <w:rsid w:val="00926ED2"/>
    <w:rsid w:val="00927389"/>
    <w:rsid w:val="009274B5"/>
    <w:rsid w:val="00927712"/>
    <w:rsid w:val="00927D02"/>
    <w:rsid w:val="009303DC"/>
    <w:rsid w:val="00930661"/>
    <w:rsid w:val="009308D8"/>
    <w:rsid w:val="00930AA4"/>
    <w:rsid w:val="00930CF0"/>
    <w:rsid w:val="0093138F"/>
    <w:rsid w:val="00931459"/>
    <w:rsid w:val="00931BF8"/>
    <w:rsid w:val="00932459"/>
    <w:rsid w:val="00932699"/>
    <w:rsid w:val="00932DD5"/>
    <w:rsid w:val="00933790"/>
    <w:rsid w:val="00933ACE"/>
    <w:rsid w:val="00933D98"/>
    <w:rsid w:val="00933F09"/>
    <w:rsid w:val="0093436F"/>
    <w:rsid w:val="00934550"/>
    <w:rsid w:val="00934D87"/>
    <w:rsid w:val="0093537A"/>
    <w:rsid w:val="0093645E"/>
    <w:rsid w:val="00936C95"/>
    <w:rsid w:val="00937234"/>
    <w:rsid w:val="00937B88"/>
    <w:rsid w:val="00940214"/>
    <w:rsid w:val="00940E72"/>
    <w:rsid w:val="0094186D"/>
    <w:rsid w:val="009419B0"/>
    <w:rsid w:val="00942289"/>
    <w:rsid w:val="009427F7"/>
    <w:rsid w:val="0094351A"/>
    <w:rsid w:val="0094367E"/>
    <w:rsid w:val="00943AB0"/>
    <w:rsid w:val="00944C40"/>
    <w:rsid w:val="009455C8"/>
    <w:rsid w:val="00945DD3"/>
    <w:rsid w:val="00946815"/>
    <w:rsid w:val="009469AF"/>
    <w:rsid w:val="00946C51"/>
    <w:rsid w:val="00946F70"/>
    <w:rsid w:val="00947288"/>
    <w:rsid w:val="009473DC"/>
    <w:rsid w:val="00947412"/>
    <w:rsid w:val="00947EDE"/>
    <w:rsid w:val="00950D5C"/>
    <w:rsid w:val="009519CE"/>
    <w:rsid w:val="00952084"/>
    <w:rsid w:val="00952B5E"/>
    <w:rsid w:val="00952FDD"/>
    <w:rsid w:val="00953AA9"/>
    <w:rsid w:val="00953BEB"/>
    <w:rsid w:val="009544B6"/>
    <w:rsid w:val="00954FF0"/>
    <w:rsid w:val="009556BE"/>
    <w:rsid w:val="009569D8"/>
    <w:rsid w:val="00956BB6"/>
    <w:rsid w:val="00956F92"/>
    <w:rsid w:val="00957F88"/>
    <w:rsid w:val="00957FB4"/>
    <w:rsid w:val="009602DD"/>
    <w:rsid w:val="00960304"/>
    <w:rsid w:val="00960532"/>
    <w:rsid w:val="009615A1"/>
    <w:rsid w:val="00961AF4"/>
    <w:rsid w:val="00961B64"/>
    <w:rsid w:val="00961F45"/>
    <w:rsid w:val="009621C9"/>
    <w:rsid w:val="00962C41"/>
    <w:rsid w:val="00962D59"/>
    <w:rsid w:val="00962F50"/>
    <w:rsid w:val="00962F75"/>
    <w:rsid w:val="009639FF"/>
    <w:rsid w:val="00963A66"/>
    <w:rsid w:val="0096421F"/>
    <w:rsid w:val="00964639"/>
    <w:rsid w:val="00964838"/>
    <w:rsid w:val="0096697E"/>
    <w:rsid w:val="00967C17"/>
    <w:rsid w:val="00970722"/>
    <w:rsid w:val="00970DEC"/>
    <w:rsid w:val="009715A2"/>
    <w:rsid w:val="0097166D"/>
    <w:rsid w:val="00971885"/>
    <w:rsid w:val="00971EE3"/>
    <w:rsid w:val="009727E9"/>
    <w:rsid w:val="0097293F"/>
    <w:rsid w:val="009730B2"/>
    <w:rsid w:val="0097432D"/>
    <w:rsid w:val="00974F00"/>
    <w:rsid w:val="00975850"/>
    <w:rsid w:val="00975DCC"/>
    <w:rsid w:val="00975EB6"/>
    <w:rsid w:val="009762FD"/>
    <w:rsid w:val="00976A52"/>
    <w:rsid w:val="00976F28"/>
    <w:rsid w:val="0097721A"/>
    <w:rsid w:val="00977522"/>
    <w:rsid w:val="009778F3"/>
    <w:rsid w:val="009779B0"/>
    <w:rsid w:val="009779CE"/>
    <w:rsid w:val="00980066"/>
    <w:rsid w:val="00980398"/>
    <w:rsid w:val="0098039C"/>
    <w:rsid w:val="0098050E"/>
    <w:rsid w:val="009806E5"/>
    <w:rsid w:val="00980D93"/>
    <w:rsid w:val="0098139D"/>
    <w:rsid w:val="009813A1"/>
    <w:rsid w:val="00981A2D"/>
    <w:rsid w:val="0098218F"/>
    <w:rsid w:val="0098287E"/>
    <w:rsid w:val="009829F8"/>
    <w:rsid w:val="00982CD2"/>
    <w:rsid w:val="00982F1E"/>
    <w:rsid w:val="00983269"/>
    <w:rsid w:val="00983D9A"/>
    <w:rsid w:val="0098482B"/>
    <w:rsid w:val="00984FA9"/>
    <w:rsid w:val="00985134"/>
    <w:rsid w:val="009853BD"/>
    <w:rsid w:val="00985881"/>
    <w:rsid w:val="00985E38"/>
    <w:rsid w:val="00986139"/>
    <w:rsid w:val="009862ED"/>
    <w:rsid w:val="00986371"/>
    <w:rsid w:val="009874AE"/>
    <w:rsid w:val="00987A11"/>
    <w:rsid w:val="00990009"/>
    <w:rsid w:val="00990212"/>
    <w:rsid w:val="009911BD"/>
    <w:rsid w:val="00991371"/>
    <w:rsid w:val="00991493"/>
    <w:rsid w:val="00992084"/>
    <w:rsid w:val="009924D5"/>
    <w:rsid w:val="00992C4E"/>
    <w:rsid w:val="00992E78"/>
    <w:rsid w:val="00992FEF"/>
    <w:rsid w:val="009932B3"/>
    <w:rsid w:val="0099362B"/>
    <w:rsid w:val="00993F56"/>
    <w:rsid w:val="00994403"/>
    <w:rsid w:val="0099554E"/>
    <w:rsid w:val="00995B26"/>
    <w:rsid w:val="00995DC0"/>
    <w:rsid w:val="00996514"/>
    <w:rsid w:val="0099768B"/>
    <w:rsid w:val="00997C0E"/>
    <w:rsid w:val="009A01C3"/>
    <w:rsid w:val="009A0958"/>
    <w:rsid w:val="009A0C22"/>
    <w:rsid w:val="009A0D22"/>
    <w:rsid w:val="009A0D84"/>
    <w:rsid w:val="009A0DC6"/>
    <w:rsid w:val="009A0EFC"/>
    <w:rsid w:val="009A125E"/>
    <w:rsid w:val="009A17AD"/>
    <w:rsid w:val="009A1E63"/>
    <w:rsid w:val="009A1FE9"/>
    <w:rsid w:val="009A2014"/>
    <w:rsid w:val="009A2062"/>
    <w:rsid w:val="009A21B8"/>
    <w:rsid w:val="009A274E"/>
    <w:rsid w:val="009A31CB"/>
    <w:rsid w:val="009A373C"/>
    <w:rsid w:val="009A3DAC"/>
    <w:rsid w:val="009A40B7"/>
    <w:rsid w:val="009A44E8"/>
    <w:rsid w:val="009A5254"/>
    <w:rsid w:val="009A56C0"/>
    <w:rsid w:val="009A5C59"/>
    <w:rsid w:val="009A63FE"/>
    <w:rsid w:val="009A68BD"/>
    <w:rsid w:val="009A6D31"/>
    <w:rsid w:val="009A6E6E"/>
    <w:rsid w:val="009A7331"/>
    <w:rsid w:val="009A79C2"/>
    <w:rsid w:val="009B011E"/>
    <w:rsid w:val="009B049C"/>
    <w:rsid w:val="009B0A4C"/>
    <w:rsid w:val="009B0AB0"/>
    <w:rsid w:val="009B0C2F"/>
    <w:rsid w:val="009B0C6A"/>
    <w:rsid w:val="009B1441"/>
    <w:rsid w:val="009B15BB"/>
    <w:rsid w:val="009B15F8"/>
    <w:rsid w:val="009B1766"/>
    <w:rsid w:val="009B1918"/>
    <w:rsid w:val="009B1C01"/>
    <w:rsid w:val="009B1E33"/>
    <w:rsid w:val="009B1FC6"/>
    <w:rsid w:val="009B254C"/>
    <w:rsid w:val="009B259E"/>
    <w:rsid w:val="009B2CA4"/>
    <w:rsid w:val="009B2FA6"/>
    <w:rsid w:val="009B35E5"/>
    <w:rsid w:val="009B38F7"/>
    <w:rsid w:val="009B3F7E"/>
    <w:rsid w:val="009B443B"/>
    <w:rsid w:val="009B4B40"/>
    <w:rsid w:val="009B4EE2"/>
    <w:rsid w:val="009B4F48"/>
    <w:rsid w:val="009B5305"/>
    <w:rsid w:val="009B6CD0"/>
    <w:rsid w:val="009B6F8F"/>
    <w:rsid w:val="009B70AD"/>
    <w:rsid w:val="009B72E9"/>
    <w:rsid w:val="009B7CE0"/>
    <w:rsid w:val="009C0112"/>
    <w:rsid w:val="009C05C2"/>
    <w:rsid w:val="009C07DC"/>
    <w:rsid w:val="009C0E07"/>
    <w:rsid w:val="009C1006"/>
    <w:rsid w:val="009C1262"/>
    <w:rsid w:val="009C18E2"/>
    <w:rsid w:val="009C1DFE"/>
    <w:rsid w:val="009C35B9"/>
    <w:rsid w:val="009C47D9"/>
    <w:rsid w:val="009C50F2"/>
    <w:rsid w:val="009C5E2E"/>
    <w:rsid w:val="009C6981"/>
    <w:rsid w:val="009C7849"/>
    <w:rsid w:val="009C7AF4"/>
    <w:rsid w:val="009C7EC8"/>
    <w:rsid w:val="009C7F9A"/>
    <w:rsid w:val="009C7FE6"/>
    <w:rsid w:val="009D13E2"/>
    <w:rsid w:val="009D215F"/>
    <w:rsid w:val="009D2D10"/>
    <w:rsid w:val="009D2ED5"/>
    <w:rsid w:val="009D2FF3"/>
    <w:rsid w:val="009D3263"/>
    <w:rsid w:val="009D37A5"/>
    <w:rsid w:val="009D37D1"/>
    <w:rsid w:val="009D4635"/>
    <w:rsid w:val="009D53F0"/>
    <w:rsid w:val="009D593B"/>
    <w:rsid w:val="009D5EF6"/>
    <w:rsid w:val="009D6377"/>
    <w:rsid w:val="009D77F7"/>
    <w:rsid w:val="009D7CB5"/>
    <w:rsid w:val="009D7DFE"/>
    <w:rsid w:val="009E0E74"/>
    <w:rsid w:val="009E1100"/>
    <w:rsid w:val="009E1563"/>
    <w:rsid w:val="009E17C3"/>
    <w:rsid w:val="009E1B46"/>
    <w:rsid w:val="009E1EE4"/>
    <w:rsid w:val="009E25F2"/>
    <w:rsid w:val="009E2B2F"/>
    <w:rsid w:val="009E30C1"/>
    <w:rsid w:val="009E3C3F"/>
    <w:rsid w:val="009E43F1"/>
    <w:rsid w:val="009E4528"/>
    <w:rsid w:val="009E50AE"/>
    <w:rsid w:val="009E56ED"/>
    <w:rsid w:val="009E5E48"/>
    <w:rsid w:val="009E5FFB"/>
    <w:rsid w:val="009E6306"/>
    <w:rsid w:val="009E6663"/>
    <w:rsid w:val="009E6CD7"/>
    <w:rsid w:val="009E7760"/>
    <w:rsid w:val="009E7806"/>
    <w:rsid w:val="009E78E4"/>
    <w:rsid w:val="009E7CE5"/>
    <w:rsid w:val="009F08A9"/>
    <w:rsid w:val="009F0F6D"/>
    <w:rsid w:val="009F1473"/>
    <w:rsid w:val="009F17BD"/>
    <w:rsid w:val="009F1FBD"/>
    <w:rsid w:val="009F23E6"/>
    <w:rsid w:val="009F251A"/>
    <w:rsid w:val="009F3091"/>
    <w:rsid w:val="009F30CB"/>
    <w:rsid w:val="009F37D4"/>
    <w:rsid w:val="009F38FC"/>
    <w:rsid w:val="009F3957"/>
    <w:rsid w:val="009F423C"/>
    <w:rsid w:val="009F4653"/>
    <w:rsid w:val="009F49EC"/>
    <w:rsid w:val="009F5FCD"/>
    <w:rsid w:val="009F61F1"/>
    <w:rsid w:val="009F6976"/>
    <w:rsid w:val="009F6A65"/>
    <w:rsid w:val="009F6CBF"/>
    <w:rsid w:val="009F6F27"/>
    <w:rsid w:val="009F7371"/>
    <w:rsid w:val="009F788E"/>
    <w:rsid w:val="009F7E57"/>
    <w:rsid w:val="009F7F2D"/>
    <w:rsid w:val="00A00515"/>
    <w:rsid w:val="00A00689"/>
    <w:rsid w:val="00A00A03"/>
    <w:rsid w:val="00A012FD"/>
    <w:rsid w:val="00A01855"/>
    <w:rsid w:val="00A0199B"/>
    <w:rsid w:val="00A027D0"/>
    <w:rsid w:val="00A02CDB"/>
    <w:rsid w:val="00A02F29"/>
    <w:rsid w:val="00A0313B"/>
    <w:rsid w:val="00A03A52"/>
    <w:rsid w:val="00A03B4D"/>
    <w:rsid w:val="00A0441B"/>
    <w:rsid w:val="00A04A47"/>
    <w:rsid w:val="00A04CC6"/>
    <w:rsid w:val="00A0510B"/>
    <w:rsid w:val="00A0562D"/>
    <w:rsid w:val="00A05ACA"/>
    <w:rsid w:val="00A0625D"/>
    <w:rsid w:val="00A06778"/>
    <w:rsid w:val="00A068C9"/>
    <w:rsid w:val="00A07AB5"/>
    <w:rsid w:val="00A07C9D"/>
    <w:rsid w:val="00A1042F"/>
    <w:rsid w:val="00A109A5"/>
    <w:rsid w:val="00A10FCF"/>
    <w:rsid w:val="00A11357"/>
    <w:rsid w:val="00A12269"/>
    <w:rsid w:val="00A128D2"/>
    <w:rsid w:val="00A12F89"/>
    <w:rsid w:val="00A13075"/>
    <w:rsid w:val="00A13E4C"/>
    <w:rsid w:val="00A15C32"/>
    <w:rsid w:val="00A15D69"/>
    <w:rsid w:val="00A1659A"/>
    <w:rsid w:val="00A16C41"/>
    <w:rsid w:val="00A1724A"/>
    <w:rsid w:val="00A17475"/>
    <w:rsid w:val="00A177E3"/>
    <w:rsid w:val="00A2078E"/>
    <w:rsid w:val="00A20F77"/>
    <w:rsid w:val="00A21390"/>
    <w:rsid w:val="00A2142D"/>
    <w:rsid w:val="00A21CE2"/>
    <w:rsid w:val="00A21FDB"/>
    <w:rsid w:val="00A225F9"/>
    <w:rsid w:val="00A2262D"/>
    <w:rsid w:val="00A22B0D"/>
    <w:rsid w:val="00A236DE"/>
    <w:rsid w:val="00A2405F"/>
    <w:rsid w:val="00A24251"/>
    <w:rsid w:val="00A2456D"/>
    <w:rsid w:val="00A250BA"/>
    <w:rsid w:val="00A25231"/>
    <w:rsid w:val="00A255A0"/>
    <w:rsid w:val="00A25F5B"/>
    <w:rsid w:val="00A26669"/>
    <w:rsid w:val="00A26AED"/>
    <w:rsid w:val="00A26B22"/>
    <w:rsid w:val="00A26C9A"/>
    <w:rsid w:val="00A27977"/>
    <w:rsid w:val="00A279F7"/>
    <w:rsid w:val="00A27A85"/>
    <w:rsid w:val="00A27C01"/>
    <w:rsid w:val="00A305FE"/>
    <w:rsid w:val="00A3090B"/>
    <w:rsid w:val="00A320D8"/>
    <w:rsid w:val="00A32256"/>
    <w:rsid w:val="00A3243A"/>
    <w:rsid w:val="00A32FC0"/>
    <w:rsid w:val="00A33908"/>
    <w:rsid w:val="00A33C85"/>
    <w:rsid w:val="00A3436E"/>
    <w:rsid w:val="00A345A8"/>
    <w:rsid w:val="00A34843"/>
    <w:rsid w:val="00A34D00"/>
    <w:rsid w:val="00A34F06"/>
    <w:rsid w:val="00A350DB"/>
    <w:rsid w:val="00A35173"/>
    <w:rsid w:val="00A35177"/>
    <w:rsid w:val="00A35337"/>
    <w:rsid w:val="00A35AFE"/>
    <w:rsid w:val="00A362A3"/>
    <w:rsid w:val="00A36538"/>
    <w:rsid w:val="00A3678A"/>
    <w:rsid w:val="00A36910"/>
    <w:rsid w:val="00A36AC7"/>
    <w:rsid w:val="00A370FE"/>
    <w:rsid w:val="00A37381"/>
    <w:rsid w:val="00A374BD"/>
    <w:rsid w:val="00A4079E"/>
    <w:rsid w:val="00A40C54"/>
    <w:rsid w:val="00A41C5A"/>
    <w:rsid w:val="00A4201C"/>
    <w:rsid w:val="00A42770"/>
    <w:rsid w:val="00A43275"/>
    <w:rsid w:val="00A433BC"/>
    <w:rsid w:val="00A43ED8"/>
    <w:rsid w:val="00A44649"/>
    <w:rsid w:val="00A446B6"/>
    <w:rsid w:val="00A449F0"/>
    <w:rsid w:val="00A44BE9"/>
    <w:rsid w:val="00A44D12"/>
    <w:rsid w:val="00A44FE8"/>
    <w:rsid w:val="00A460DF"/>
    <w:rsid w:val="00A461CD"/>
    <w:rsid w:val="00A46A83"/>
    <w:rsid w:val="00A46C10"/>
    <w:rsid w:val="00A475F0"/>
    <w:rsid w:val="00A502C8"/>
    <w:rsid w:val="00A5044C"/>
    <w:rsid w:val="00A506AD"/>
    <w:rsid w:val="00A5089A"/>
    <w:rsid w:val="00A50BFC"/>
    <w:rsid w:val="00A50D0E"/>
    <w:rsid w:val="00A51477"/>
    <w:rsid w:val="00A51857"/>
    <w:rsid w:val="00A525D5"/>
    <w:rsid w:val="00A5280E"/>
    <w:rsid w:val="00A52AE0"/>
    <w:rsid w:val="00A52E53"/>
    <w:rsid w:val="00A52ED1"/>
    <w:rsid w:val="00A531E4"/>
    <w:rsid w:val="00A53344"/>
    <w:rsid w:val="00A5513D"/>
    <w:rsid w:val="00A55196"/>
    <w:rsid w:val="00A55669"/>
    <w:rsid w:val="00A55701"/>
    <w:rsid w:val="00A55739"/>
    <w:rsid w:val="00A564BF"/>
    <w:rsid w:val="00A56725"/>
    <w:rsid w:val="00A56BBE"/>
    <w:rsid w:val="00A56E73"/>
    <w:rsid w:val="00A57CE3"/>
    <w:rsid w:val="00A600B1"/>
    <w:rsid w:val="00A619C4"/>
    <w:rsid w:val="00A61A58"/>
    <w:rsid w:val="00A61D69"/>
    <w:rsid w:val="00A62141"/>
    <w:rsid w:val="00A62725"/>
    <w:rsid w:val="00A62DC0"/>
    <w:rsid w:val="00A63154"/>
    <w:rsid w:val="00A63D4B"/>
    <w:rsid w:val="00A6409A"/>
    <w:rsid w:val="00A646E4"/>
    <w:rsid w:val="00A64857"/>
    <w:rsid w:val="00A65061"/>
    <w:rsid w:val="00A65950"/>
    <w:rsid w:val="00A659F8"/>
    <w:rsid w:val="00A66316"/>
    <w:rsid w:val="00A6693D"/>
    <w:rsid w:val="00A6699F"/>
    <w:rsid w:val="00A66CEF"/>
    <w:rsid w:val="00A66FF4"/>
    <w:rsid w:val="00A66FFC"/>
    <w:rsid w:val="00A67E33"/>
    <w:rsid w:val="00A7053C"/>
    <w:rsid w:val="00A709BE"/>
    <w:rsid w:val="00A70A02"/>
    <w:rsid w:val="00A70AF8"/>
    <w:rsid w:val="00A70D3E"/>
    <w:rsid w:val="00A711D0"/>
    <w:rsid w:val="00A71A65"/>
    <w:rsid w:val="00A7238A"/>
    <w:rsid w:val="00A72451"/>
    <w:rsid w:val="00A725A4"/>
    <w:rsid w:val="00A72A9E"/>
    <w:rsid w:val="00A72DBB"/>
    <w:rsid w:val="00A72EFF"/>
    <w:rsid w:val="00A73A01"/>
    <w:rsid w:val="00A7419B"/>
    <w:rsid w:val="00A74242"/>
    <w:rsid w:val="00A744AA"/>
    <w:rsid w:val="00A74A91"/>
    <w:rsid w:val="00A74C61"/>
    <w:rsid w:val="00A75936"/>
    <w:rsid w:val="00A759E5"/>
    <w:rsid w:val="00A75C68"/>
    <w:rsid w:val="00A7616B"/>
    <w:rsid w:val="00A7620A"/>
    <w:rsid w:val="00A76469"/>
    <w:rsid w:val="00A76958"/>
    <w:rsid w:val="00A77E5D"/>
    <w:rsid w:val="00A80426"/>
    <w:rsid w:val="00A80BC0"/>
    <w:rsid w:val="00A81560"/>
    <w:rsid w:val="00A82994"/>
    <w:rsid w:val="00A832BB"/>
    <w:rsid w:val="00A833C0"/>
    <w:rsid w:val="00A834BA"/>
    <w:rsid w:val="00A83D8B"/>
    <w:rsid w:val="00A84187"/>
    <w:rsid w:val="00A84204"/>
    <w:rsid w:val="00A84CD3"/>
    <w:rsid w:val="00A85543"/>
    <w:rsid w:val="00A85D53"/>
    <w:rsid w:val="00A8631D"/>
    <w:rsid w:val="00A86DF5"/>
    <w:rsid w:val="00A87233"/>
    <w:rsid w:val="00A877CF"/>
    <w:rsid w:val="00A879B0"/>
    <w:rsid w:val="00A87A82"/>
    <w:rsid w:val="00A87BC4"/>
    <w:rsid w:val="00A90682"/>
    <w:rsid w:val="00A90DEC"/>
    <w:rsid w:val="00A91126"/>
    <w:rsid w:val="00A91E07"/>
    <w:rsid w:val="00A92954"/>
    <w:rsid w:val="00A944ED"/>
    <w:rsid w:val="00A951DF"/>
    <w:rsid w:val="00A95207"/>
    <w:rsid w:val="00A95F71"/>
    <w:rsid w:val="00A9602F"/>
    <w:rsid w:val="00A96C70"/>
    <w:rsid w:val="00A970CC"/>
    <w:rsid w:val="00A97361"/>
    <w:rsid w:val="00A97ACD"/>
    <w:rsid w:val="00AA0139"/>
    <w:rsid w:val="00AA035E"/>
    <w:rsid w:val="00AA0487"/>
    <w:rsid w:val="00AA07EA"/>
    <w:rsid w:val="00AA0B86"/>
    <w:rsid w:val="00AA0E03"/>
    <w:rsid w:val="00AA12E3"/>
    <w:rsid w:val="00AA142E"/>
    <w:rsid w:val="00AA15C3"/>
    <w:rsid w:val="00AA1FEB"/>
    <w:rsid w:val="00AA2502"/>
    <w:rsid w:val="00AA3406"/>
    <w:rsid w:val="00AA4138"/>
    <w:rsid w:val="00AA4E62"/>
    <w:rsid w:val="00AA53A5"/>
    <w:rsid w:val="00AA5923"/>
    <w:rsid w:val="00AA6156"/>
    <w:rsid w:val="00AA6287"/>
    <w:rsid w:val="00AA629E"/>
    <w:rsid w:val="00AA646E"/>
    <w:rsid w:val="00AA6F48"/>
    <w:rsid w:val="00AA6F4F"/>
    <w:rsid w:val="00AA751E"/>
    <w:rsid w:val="00AA7D06"/>
    <w:rsid w:val="00AB0AA7"/>
    <w:rsid w:val="00AB1280"/>
    <w:rsid w:val="00AB19F9"/>
    <w:rsid w:val="00AB23CC"/>
    <w:rsid w:val="00AB424A"/>
    <w:rsid w:val="00AB4630"/>
    <w:rsid w:val="00AB5118"/>
    <w:rsid w:val="00AB548A"/>
    <w:rsid w:val="00AB5AB2"/>
    <w:rsid w:val="00AB6488"/>
    <w:rsid w:val="00AB6C82"/>
    <w:rsid w:val="00AB6E72"/>
    <w:rsid w:val="00AB7984"/>
    <w:rsid w:val="00AB7AE5"/>
    <w:rsid w:val="00AB7BDD"/>
    <w:rsid w:val="00AB7EAC"/>
    <w:rsid w:val="00AB7F2D"/>
    <w:rsid w:val="00AC06EF"/>
    <w:rsid w:val="00AC0921"/>
    <w:rsid w:val="00AC0E99"/>
    <w:rsid w:val="00AC1006"/>
    <w:rsid w:val="00AC124D"/>
    <w:rsid w:val="00AC12A4"/>
    <w:rsid w:val="00AC15B5"/>
    <w:rsid w:val="00AC15C5"/>
    <w:rsid w:val="00AC22AD"/>
    <w:rsid w:val="00AC2E88"/>
    <w:rsid w:val="00AC34AE"/>
    <w:rsid w:val="00AC3751"/>
    <w:rsid w:val="00AC3A27"/>
    <w:rsid w:val="00AC3BBE"/>
    <w:rsid w:val="00AC43FC"/>
    <w:rsid w:val="00AC440E"/>
    <w:rsid w:val="00AC453C"/>
    <w:rsid w:val="00AC4F41"/>
    <w:rsid w:val="00AC538C"/>
    <w:rsid w:val="00AC6764"/>
    <w:rsid w:val="00AC6A81"/>
    <w:rsid w:val="00AD0607"/>
    <w:rsid w:val="00AD0C43"/>
    <w:rsid w:val="00AD1783"/>
    <w:rsid w:val="00AD2BB2"/>
    <w:rsid w:val="00AD3076"/>
    <w:rsid w:val="00AD3300"/>
    <w:rsid w:val="00AD3306"/>
    <w:rsid w:val="00AD3735"/>
    <w:rsid w:val="00AD4002"/>
    <w:rsid w:val="00AD434B"/>
    <w:rsid w:val="00AD4D22"/>
    <w:rsid w:val="00AD4E2A"/>
    <w:rsid w:val="00AD535B"/>
    <w:rsid w:val="00AD5597"/>
    <w:rsid w:val="00AD64FF"/>
    <w:rsid w:val="00AD6B8F"/>
    <w:rsid w:val="00AD77E7"/>
    <w:rsid w:val="00AE000E"/>
    <w:rsid w:val="00AE0EE5"/>
    <w:rsid w:val="00AE1474"/>
    <w:rsid w:val="00AE1750"/>
    <w:rsid w:val="00AE1A7E"/>
    <w:rsid w:val="00AE1F02"/>
    <w:rsid w:val="00AE2C55"/>
    <w:rsid w:val="00AE2CA1"/>
    <w:rsid w:val="00AE2EC9"/>
    <w:rsid w:val="00AE380B"/>
    <w:rsid w:val="00AE3EE6"/>
    <w:rsid w:val="00AE4B2F"/>
    <w:rsid w:val="00AE4B74"/>
    <w:rsid w:val="00AE4D2D"/>
    <w:rsid w:val="00AE5597"/>
    <w:rsid w:val="00AE5E09"/>
    <w:rsid w:val="00AE6850"/>
    <w:rsid w:val="00AE6C0E"/>
    <w:rsid w:val="00AE6F2F"/>
    <w:rsid w:val="00AE7292"/>
    <w:rsid w:val="00AE7637"/>
    <w:rsid w:val="00AF044D"/>
    <w:rsid w:val="00AF08D3"/>
    <w:rsid w:val="00AF0A54"/>
    <w:rsid w:val="00AF0B3B"/>
    <w:rsid w:val="00AF143C"/>
    <w:rsid w:val="00AF1854"/>
    <w:rsid w:val="00AF1D44"/>
    <w:rsid w:val="00AF20A6"/>
    <w:rsid w:val="00AF277B"/>
    <w:rsid w:val="00AF3875"/>
    <w:rsid w:val="00AF3F18"/>
    <w:rsid w:val="00AF5463"/>
    <w:rsid w:val="00AF54D4"/>
    <w:rsid w:val="00AF572C"/>
    <w:rsid w:val="00AF57FA"/>
    <w:rsid w:val="00AF58C2"/>
    <w:rsid w:val="00AF6049"/>
    <w:rsid w:val="00AF6097"/>
    <w:rsid w:val="00AF6F50"/>
    <w:rsid w:val="00B00DB0"/>
    <w:rsid w:val="00B01376"/>
    <w:rsid w:val="00B014D3"/>
    <w:rsid w:val="00B014D6"/>
    <w:rsid w:val="00B016F0"/>
    <w:rsid w:val="00B01877"/>
    <w:rsid w:val="00B020C7"/>
    <w:rsid w:val="00B02F3D"/>
    <w:rsid w:val="00B036AF"/>
    <w:rsid w:val="00B03E7B"/>
    <w:rsid w:val="00B045DE"/>
    <w:rsid w:val="00B04DDA"/>
    <w:rsid w:val="00B05543"/>
    <w:rsid w:val="00B05AF9"/>
    <w:rsid w:val="00B05BC7"/>
    <w:rsid w:val="00B064B7"/>
    <w:rsid w:val="00B068A5"/>
    <w:rsid w:val="00B0708B"/>
    <w:rsid w:val="00B0727B"/>
    <w:rsid w:val="00B0737B"/>
    <w:rsid w:val="00B0769B"/>
    <w:rsid w:val="00B07E3F"/>
    <w:rsid w:val="00B103BE"/>
    <w:rsid w:val="00B1086A"/>
    <w:rsid w:val="00B108C6"/>
    <w:rsid w:val="00B10DFE"/>
    <w:rsid w:val="00B10EBB"/>
    <w:rsid w:val="00B11105"/>
    <w:rsid w:val="00B111CF"/>
    <w:rsid w:val="00B11868"/>
    <w:rsid w:val="00B121A2"/>
    <w:rsid w:val="00B12C54"/>
    <w:rsid w:val="00B12CCC"/>
    <w:rsid w:val="00B132A0"/>
    <w:rsid w:val="00B136F7"/>
    <w:rsid w:val="00B1483E"/>
    <w:rsid w:val="00B152DE"/>
    <w:rsid w:val="00B15E80"/>
    <w:rsid w:val="00B16467"/>
    <w:rsid w:val="00B166D3"/>
    <w:rsid w:val="00B168EC"/>
    <w:rsid w:val="00B16DC8"/>
    <w:rsid w:val="00B16E9B"/>
    <w:rsid w:val="00B16F40"/>
    <w:rsid w:val="00B1775F"/>
    <w:rsid w:val="00B17D47"/>
    <w:rsid w:val="00B17E53"/>
    <w:rsid w:val="00B17FE4"/>
    <w:rsid w:val="00B207E2"/>
    <w:rsid w:val="00B20BEA"/>
    <w:rsid w:val="00B20EC6"/>
    <w:rsid w:val="00B217ED"/>
    <w:rsid w:val="00B22554"/>
    <w:rsid w:val="00B22B8B"/>
    <w:rsid w:val="00B240A8"/>
    <w:rsid w:val="00B24224"/>
    <w:rsid w:val="00B2482C"/>
    <w:rsid w:val="00B249A6"/>
    <w:rsid w:val="00B24B97"/>
    <w:rsid w:val="00B25117"/>
    <w:rsid w:val="00B25A80"/>
    <w:rsid w:val="00B2687C"/>
    <w:rsid w:val="00B26AAD"/>
    <w:rsid w:val="00B273CD"/>
    <w:rsid w:val="00B27B96"/>
    <w:rsid w:val="00B30974"/>
    <w:rsid w:val="00B30C05"/>
    <w:rsid w:val="00B31003"/>
    <w:rsid w:val="00B31680"/>
    <w:rsid w:val="00B31768"/>
    <w:rsid w:val="00B319CA"/>
    <w:rsid w:val="00B31C69"/>
    <w:rsid w:val="00B31C73"/>
    <w:rsid w:val="00B3254C"/>
    <w:rsid w:val="00B32B3E"/>
    <w:rsid w:val="00B33D59"/>
    <w:rsid w:val="00B34DE5"/>
    <w:rsid w:val="00B35518"/>
    <w:rsid w:val="00B355A7"/>
    <w:rsid w:val="00B36219"/>
    <w:rsid w:val="00B365B7"/>
    <w:rsid w:val="00B365FD"/>
    <w:rsid w:val="00B367A3"/>
    <w:rsid w:val="00B36B97"/>
    <w:rsid w:val="00B36C83"/>
    <w:rsid w:val="00B37E51"/>
    <w:rsid w:val="00B40EBE"/>
    <w:rsid w:val="00B419E2"/>
    <w:rsid w:val="00B41A6C"/>
    <w:rsid w:val="00B41CE5"/>
    <w:rsid w:val="00B41D21"/>
    <w:rsid w:val="00B43AF1"/>
    <w:rsid w:val="00B44685"/>
    <w:rsid w:val="00B44987"/>
    <w:rsid w:val="00B4510B"/>
    <w:rsid w:val="00B45F7D"/>
    <w:rsid w:val="00B46264"/>
    <w:rsid w:val="00B46D17"/>
    <w:rsid w:val="00B47597"/>
    <w:rsid w:val="00B47BA2"/>
    <w:rsid w:val="00B47E44"/>
    <w:rsid w:val="00B50A54"/>
    <w:rsid w:val="00B50DDB"/>
    <w:rsid w:val="00B51C10"/>
    <w:rsid w:val="00B521C4"/>
    <w:rsid w:val="00B528BD"/>
    <w:rsid w:val="00B53485"/>
    <w:rsid w:val="00B53DCC"/>
    <w:rsid w:val="00B5457F"/>
    <w:rsid w:val="00B54700"/>
    <w:rsid w:val="00B54A77"/>
    <w:rsid w:val="00B55BEC"/>
    <w:rsid w:val="00B55D55"/>
    <w:rsid w:val="00B560BB"/>
    <w:rsid w:val="00B56192"/>
    <w:rsid w:val="00B572B4"/>
    <w:rsid w:val="00B574A1"/>
    <w:rsid w:val="00B6024B"/>
    <w:rsid w:val="00B605ED"/>
    <w:rsid w:val="00B60C9B"/>
    <w:rsid w:val="00B61799"/>
    <w:rsid w:val="00B61D01"/>
    <w:rsid w:val="00B61D28"/>
    <w:rsid w:val="00B61EC6"/>
    <w:rsid w:val="00B62ADE"/>
    <w:rsid w:val="00B62B13"/>
    <w:rsid w:val="00B62F23"/>
    <w:rsid w:val="00B6390B"/>
    <w:rsid w:val="00B63F8E"/>
    <w:rsid w:val="00B63FB6"/>
    <w:rsid w:val="00B64041"/>
    <w:rsid w:val="00B64171"/>
    <w:rsid w:val="00B64CE6"/>
    <w:rsid w:val="00B65D71"/>
    <w:rsid w:val="00B65F14"/>
    <w:rsid w:val="00B65F53"/>
    <w:rsid w:val="00B66653"/>
    <w:rsid w:val="00B667EF"/>
    <w:rsid w:val="00B677FE"/>
    <w:rsid w:val="00B679E5"/>
    <w:rsid w:val="00B67C5B"/>
    <w:rsid w:val="00B67C6A"/>
    <w:rsid w:val="00B67F15"/>
    <w:rsid w:val="00B67F73"/>
    <w:rsid w:val="00B70E58"/>
    <w:rsid w:val="00B71031"/>
    <w:rsid w:val="00B71401"/>
    <w:rsid w:val="00B71E46"/>
    <w:rsid w:val="00B723CA"/>
    <w:rsid w:val="00B72492"/>
    <w:rsid w:val="00B7285B"/>
    <w:rsid w:val="00B72D45"/>
    <w:rsid w:val="00B72DA3"/>
    <w:rsid w:val="00B72DF5"/>
    <w:rsid w:val="00B72E33"/>
    <w:rsid w:val="00B72E6C"/>
    <w:rsid w:val="00B732D0"/>
    <w:rsid w:val="00B737ED"/>
    <w:rsid w:val="00B73D75"/>
    <w:rsid w:val="00B73E58"/>
    <w:rsid w:val="00B742F8"/>
    <w:rsid w:val="00B74E30"/>
    <w:rsid w:val="00B75571"/>
    <w:rsid w:val="00B755FA"/>
    <w:rsid w:val="00B75857"/>
    <w:rsid w:val="00B75C4A"/>
    <w:rsid w:val="00B776CF"/>
    <w:rsid w:val="00B80307"/>
    <w:rsid w:val="00B807DC"/>
    <w:rsid w:val="00B80C84"/>
    <w:rsid w:val="00B80EFA"/>
    <w:rsid w:val="00B80F7B"/>
    <w:rsid w:val="00B80FCC"/>
    <w:rsid w:val="00B8100B"/>
    <w:rsid w:val="00B812DF"/>
    <w:rsid w:val="00B81A48"/>
    <w:rsid w:val="00B81A65"/>
    <w:rsid w:val="00B81B0D"/>
    <w:rsid w:val="00B831D4"/>
    <w:rsid w:val="00B83222"/>
    <w:rsid w:val="00B842A5"/>
    <w:rsid w:val="00B844EE"/>
    <w:rsid w:val="00B8469F"/>
    <w:rsid w:val="00B856BA"/>
    <w:rsid w:val="00B856DF"/>
    <w:rsid w:val="00B860CD"/>
    <w:rsid w:val="00B8698A"/>
    <w:rsid w:val="00B86D5B"/>
    <w:rsid w:val="00B86DCF"/>
    <w:rsid w:val="00B87E09"/>
    <w:rsid w:val="00B9022E"/>
    <w:rsid w:val="00B903C6"/>
    <w:rsid w:val="00B907CF"/>
    <w:rsid w:val="00B9111B"/>
    <w:rsid w:val="00B92729"/>
    <w:rsid w:val="00B92C87"/>
    <w:rsid w:val="00B93226"/>
    <w:rsid w:val="00B93535"/>
    <w:rsid w:val="00B93538"/>
    <w:rsid w:val="00B935D8"/>
    <w:rsid w:val="00B93B25"/>
    <w:rsid w:val="00B93BC4"/>
    <w:rsid w:val="00B93BE8"/>
    <w:rsid w:val="00B94BA6"/>
    <w:rsid w:val="00B94BE7"/>
    <w:rsid w:val="00B94D61"/>
    <w:rsid w:val="00B955C6"/>
    <w:rsid w:val="00B9583F"/>
    <w:rsid w:val="00B95A2E"/>
    <w:rsid w:val="00B9673A"/>
    <w:rsid w:val="00B96CBC"/>
    <w:rsid w:val="00B97346"/>
    <w:rsid w:val="00B97B57"/>
    <w:rsid w:val="00B97F62"/>
    <w:rsid w:val="00BA0028"/>
    <w:rsid w:val="00BA06CA"/>
    <w:rsid w:val="00BA0CCD"/>
    <w:rsid w:val="00BA15CB"/>
    <w:rsid w:val="00BA1864"/>
    <w:rsid w:val="00BA1AF6"/>
    <w:rsid w:val="00BA2306"/>
    <w:rsid w:val="00BA263C"/>
    <w:rsid w:val="00BA3205"/>
    <w:rsid w:val="00BA3222"/>
    <w:rsid w:val="00BA35F5"/>
    <w:rsid w:val="00BA3BED"/>
    <w:rsid w:val="00BA3D85"/>
    <w:rsid w:val="00BA418B"/>
    <w:rsid w:val="00BA437C"/>
    <w:rsid w:val="00BA48BA"/>
    <w:rsid w:val="00BA49BD"/>
    <w:rsid w:val="00BA4A96"/>
    <w:rsid w:val="00BA541A"/>
    <w:rsid w:val="00BA5599"/>
    <w:rsid w:val="00BA5998"/>
    <w:rsid w:val="00BA5A64"/>
    <w:rsid w:val="00BA5B15"/>
    <w:rsid w:val="00BA6049"/>
    <w:rsid w:val="00BA61D8"/>
    <w:rsid w:val="00BA6C79"/>
    <w:rsid w:val="00BA70EB"/>
    <w:rsid w:val="00BA7C2E"/>
    <w:rsid w:val="00BB0318"/>
    <w:rsid w:val="00BB0795"/>
    <w:rsid w:val="00BB0C77"/>
    <w:rsid w:val="00BB0D75"/>
    <w:rsid w:val="00BB0FDF"/>
    <w:rsid w:val="00BB114F"/>
    <w:rsid w:val="00BB11B3"/>
    <w:rsid w:val="00BB11F9"/>
    <w:rsid w:val="00BB127E"/>
    <w:rsid w:val="00BB1746"/>
    <w:rsid w:val="00BB191E"/>
    <w:rsid w:val="00BB1BED"/>
    <w:rsid w:val="00BB1E22"/>
    <w:rsid w:val="00BB1EBC"/>
    <w:rsid w:val="00BB2BE8"/>
    <w:rsid w:val="00BB2EA2"/>
    <w:rsid w:val="00BB2F39"/>
    <w:rsid w:val="00BB3976"/>
    <w:rsid w:val="00BB3B21"/>
    <w:rsid w:val="00BB4367"/>
    <w:rsid w:val="00BB46E4"/>
    <w:rsid w:val="00BB4B7F"/>
    <w:rsid w:val="00BB6C1F"/>
    <w:rsid w:val="00BB7A50"/>
    <w:rsid w:val="00BB7E1B"/>
    <w:rsid w:val="00BC0154"/>
    <w:rsid w:val="00BC11D5"/>
    <w:rsid w:val="00BC12F7"/>
    <w:rsid w:val="00BC1765"/>
    <w:rsid w:val="00BC2850"/>
    <w:rsid w:val="00BC2A08"/>
    <w:rsid w:val="00BC325B"/>
    <w:rsid w:val="00BC3A30"/>
    <w:rsid w:val="00BC3E7F"/>
    <w:rsid w:val="00BC3F77"/>
    <w:rsid w:val="00BC4289"/>
    <w:rsid w:val="00BC468D"/>
    <w:rsid w:val="00BC4BDE"/>
    <w:rsid w:val="00BC5278"/>
    <w:rsid w:val="00BC5707"/>
    <w:rsid w:val="00BC589B"/>
    <w:rsid w:val="00BC5C25"/>
    <w:rsid w:val="00BC5DC5"/>
    <w:rsid w:val="00BC61D9"/>
    <w:rsid w:val="00BC6371"/>
    <w:rsid w:val="00BC6FEA"/>
    <w:rsid w:val="00BD036C"/>
    <w:rsid w:val="00BD0B17"/>
    <w:rsid w:val="00BD11AA"/>
    <w:rsid w:val="00BD1412"/>
    <w:rsid w:val="00BD21C3"/>
    <w:rsid w:val="00BD2A00"/>
    <w:rsid w:val="00BD337D"/>
    <w:rsid w:val="00BD5449"/>
    <w:rsid w:val="00BD5705"/>
    <w:rsid w:val="00BD5759"/>
    <w:rsid w:val="00BD5956"/>
    <w:rsid w:val="00BD5DBF"/>
    <w:rsid w:val="00BD5FF0"/>
    <w:rsid w:val="00BD6590"/>
    <w:rsid w:val="00BD7328"/>
    <w:rsid w:val="00BD794A"/>
    <w:rsid w:val="00BE080E"/>
    <w:rsid w:val="00BE096F"/>
    <w:rsid w:val="00BE0CE6"/>
    <w:rsid w:val="00BE162B"/>
    <w:rsid w:val="00BE16F1"/>
    <w:rsid w:val="00BE2095"/>
    <w:rsid w:val="00BE2521"/>
    <w:rsid w:val="00BE296E"/>
    <w:rsid w:val="00BE2B0F"/>
    <w:rsid w:val="00BE2E03"/>
    <w:rsid w:val="00BE310A"/>
    <w:rsid w:val="00BE3BD3"/>
    <w:rsid w:val="00BE44E8"/>
    <w:rsid w:val="00BE4EC8"/>
    <w:rsid w:val="00BE52D6"/>
    <w:rsid w:val="00BE591D"/>
    <w:rsid w:val="00BE5CFB"/>
    <w:rsid w:val="00BE6B2C"/>
    <w:rsid w:val="00BE72E0"/>
    <w:rsid w:val="00BE73E0"/>
    <w:rsid w:val="00BE7E88"/>
    <w:rsid w:val="00BF0063"/>
    <w:rsid w:val="00BF09B7"/>
    <w:rsid w:val="00BF1990"/>
    <w:rsid w:val="00BF1CE0"/>
    <w:rsid w:val="00BF2040"/>
    <w:rsid w:val="00BF21E9"/>
    <w:rsid w:val="00BF21EC"/>
    <w:rsid w:val="00BF2921"/>
    <w:rsid w:val="00BF2CB1"/>
    <w:rsid w:val="00BF2ED6"/>
    <w:rsid w:val="00BF3AEB"/>
    <w:rsid w:val="00BF3E91"/>
    <w:rsid w:val="00BF494B"/>
    <w:rsid w:val="00BF4AAF"/>
    <w:rsid w:val="00BF4D01"/>
    <w:rsid w:val="00BF4EB7"/>
    <w:rsid w:val="00BF4EF4"/>
    <w:rsid w:val="00BF5067"/>
    <w:rsid w:val="00BF510C"/>
    <w:rsid w:val="00BF53EE"/>
    <w:rsid w:val="00BF53FD"/>
    <w:rsid w:val="00BF577D"/>
    <w:rsid w:val="00BF626E"/>
    <w:rsid w:val="00BF6D29"/>
    <w:rsid w:val="00BF7394"/>
    <w:rsid w:val="00BF7945"/>
    <w:rsid w:val="00BF7BEB"/>
    <w:rsid w:val="00BF7E55"/>
    <w:rsid w:val="00C01493"/>
    <w:rsid w:val="00C0156C"/>
    <w:rsid w:val="00C017D2"/>
    <w:rsid w:val="00C0191F"/>
    <w:rsid w:val="00C01EE1"/>
    <w:rsid w:val="00C02224"/>
    <w:rsid w:val="00C02B40"/>
    <w:rsid w:val="00C02EE1"/>
    <w:rsid w:val="00C034F4"/>
    <w:rsid w:val="00C03883"/>
    <w:rsid w:val="00C039D0"/>
    <w:rsid w:val="00C03C0C"/>
    <w:rsid w:val="00C03C9E"/>
    <w:rsid w:val="00C04139"/>
    <w:rsid w:val="00C04A35"/>
    <w:rsid w:val="00C06685"/>
    <w:rsid w:val="00C0679D"/>
    <w:rsid w:val="00C07792"/>
    <w:rsid w:val="00C07E9F"/>
    <w:rsid w:val="00C10518"/>
    <w:rsid w:val="00C10611"/>
    <w:rsid w:val="00C10A03"/>
    <w:rsid w:val="00C11218"/>
    <w:rsid w:val="00C117F7"/>
    <w:rsid w:val="00C1191D"/>
    <w:rsid w:val="00C12400"/>
    <w:rsid w:val="00C12701"/>
    <w:rsid w:val="00C12A5F"/>
    <w:rsid w:val="00C12B69"/>
    <w:rsid w:val="00C12CC6"/>
    <w:rsid w:val="00C142C1"/>
    <w:rsid w:val="00C149A5"/>
    <w:rsid w:val="00C1511B"/>
    <w:rsid w:val="00C15251"/>
    <w:rsid w:val="00C152B2"/>
    <w:rsid w:val="00C157B3"/>
    <w:rsid w:val="00C15C80"/>
    <w:rsid w:val="00C1606C"/>
    <w:rsid w:val="00C1668C"/>
    <w:rsid w:val="00C16ABA"/>
    <w:rsid w:val="00C16F35"/>
    <w:rsid w:val="00C17537"/>
    <w:rsid w:val="00C17A68"/>
    <w:rsid w:val="00C17A70"/>
    <w:rsid w:val="00C17B16"/>
    <w:rsid w:val="00C17E61"/>
    <w:rsid w:val="00C20CFF"/>
    <w:rsid w:val="00C2103B"/>
    <w:rsid w:val="00C21D04"/>
    <w:rsid w:val="00C22CFB"/>
    <w:rsid w:val="00C2336C"/>
    <w:rsid w:val="00C237A7"/>
    <w:rsid w:val="00C245A6"/>
    <w:rsid w:val="00C246D3"/>
    <w:rsid w:val="00C24760"/>
    <w:rsid w:val="00C25415"/>
    <w:rsid w:val="00C25DE8"/>
    <w:rsid w:val="00C25FFC"/>
    <w:rsid w:val="00C26199"/>
    <w:rsid w:val="00C26A87"/>
    <w:rsid w:val="00C26BD3"/>
    <w:rsid w:val="00C26CBB"/>
    <w:rsid w:val="00C30682"/>
    <w:rsid w:val="00C30E73"/>
    <w:rsid w:val="00C329C5"/>
    <w:rsid w:val="00C32BB5"/>
    <w:rsid w:val="00C33484"/>
    <w:rsid w:val="00C337CA"/>
    <w:rsid w:val="00C3421B"/>
    <w:rsid w:val="00C342AD"/>
    <w:rsid w:val="00C3450D"/>
    <w:rsid w:val="00C34D2C"/>
    <w:rsid w:val="00C35207"/>
    <w:rsid w:val="00C3558A"/>
    <w:rsid w:val="00C35B45"/>
    <w:rsid w:val="00C35E2B"/>
    <w:rsid w:val="00C36088"/>
    <w:rsid w:val="00C36AE8"/>
    <w:rsid w:val="00C36BB0"/>
    <w:rsid w:val="00C37114"/>
    <w:rsid w:val="00C372CA"/>
    <w:rsid w:val="00C4118C"/>
    <w:rsid w:val="00C4157C"/>
    <w:rsid w:val="00C41A2F"/>
    <w:rsid w:val="00C42643"/>
    <w:rsid w:val="00C4289C"/>
    <w:rsid w:val="00C42A3F"/>
    <w:rsid w:val="00C43584"/>
    <w:rsid w:val="00C4365A"/>
    <w:rsid w:val="00C43A27"/>
    <w:rsid w:val="00C44E27"/>
    <w:rsid w:val="00C44F9E"/>
    <w:rsid w:val="00C45350"/>
    <w:rsid w:val="00C45895"/>
    <w:rsid w:val="00C45B55"/>
    <w:rsid w:val="00C45DF8"/>
    <w:rsid w:val="00C466A0"/>
    <w:rsid w:val="00C467E3"/>
    <w:rsid w:val="00C47728"/>
    <w:rsid w:val="00C477FC"/>
    <w:rsid w:val="00C4780E"/>
    <w:rsid w:val="00C500FD"/>
    <w:rsid w:val="00C502C3"/>
    <w:rsid w:val="00C50447"/>
    <w:rsid w:val="00C504F4"/>
    <w:rsid w:val="00C50E51"/>
    <w:rsid w:val="00C50F95"/>
    <w:rsid w:val="00C51528"/>
    <w:rsid w:val="00C51A45"/>
    <w:rsid w:val="00C51AF2"/>
    <w:rsid w:val="00C51CD9"/>
    <w:rsid w:val="00C51D6B"/>
    <w:rsid w:val="00C521D3"/>
    <w:rsid w:val="00C52467"/>
    <w:rsid w:val="00C526DA"/>
    <w:rsid w:val="00C53856"/>
    <w:rsid w:val="00C53CBC"/>
    <w:rsid w:val="00C5576F"/>
    <w:rsid w:val="00C5640B"/>
    <w:rsid w:val="00C56B0A"/>
    <w:rsid w:val="00C57A32"/>
    <w:rsid w:val="00C60514"/>
    <w:rsid w:val="00C60D5A"/>
    <w:rsid w:val="00C61CA6"/>
    <w:rsid w:val="00C61D50"/>
    <w:rsid w:val="00C62B84"/>
    <w:rsid w:val="00C62C28"/>
    <w:rsid w:val="00C63087"/>
    <w:rsid w:val="00C63247"/>
    <w:rsid w:val="00C634C3"/>
    <w:rsid w:val="00C63580"/>
    <w:rsid w:val="00C63982"/>
    <w:rsid w:val="00C64724"/>
    <w:rsid w:val="00C65210"/>
    <w:rsid w:val="00C655B3"/>
    <w:rsid w:val="00C65898"/>
    <w:rsid w:val="00C65B6D"/>
    <w:rsid w:val="00C65F85"/>
    <w:rsid w:val="00C67235"/>
    <w:rsid w:val="00C6759F"/>
    <w:rsid w:val="00C67DD8"/>
    <w:rsid w:val="00C67E05"/>
    <w:rsid w:val="00C67E98"/>
    <w:rsid w:val="00C67FEA"/>
    <w:rsid w:val="00C706F8"/>
    <w:rsid w:val="00C71170"/>
    <w:rsid w:val="00C71820"/>
    <w:rsid w:val="00C71DF2"/>
    <w:rsid w:val="00C72C21"/>
    <w:rsid w:val="00C732F1"/>
    <w:rsid w:val="00C7339C"/>
    <w:rsid w:val="00C73CC4"/>
    <w:rsid w:val="00C7414E"/>
    <w:rsid w:val="00C74BE7"/>
    <w:rsid w:val="00C74BFD"/>
    <w:rsid w:val="00C75B17"/>
    <w:rsid w:val="00C76141"/>
    <w:rsid w:val="00C7658F"/>
    <w:rsid w:val="00C76915"/>
    <w:rsid w:val="00C77982"/>
    <w:rsid w:val="00C77EE1"/>
    <w:rsid w:val="00C8016C"/>
    <w:rsid w:val="00C80BA8"/>
    <w:rsid w:val="00C80FEA"/>
    <w:rsid w:val="00C8154A"/>
    <w:rsid w:val="00C8263E"/>
    <w:rsid w:val="00C82660"/>
    <w:rsid w:val="00C831CC"/>
    <w:rsid w:val="00C83C34"/>
    <w:rsid w:val="00C84827"/>
    <w:rsid w:val="00C85D52"/>
    <w:rsid w:val="00C86562"/>
    <w:rsid w:val="00C86CCF"/>
    <w:rsid w:val="00C8782F"/>
    <w:rsid w:val="00C87AE2"/>
    <w:rsid w:val="00C900D4"/>
    <w:rsid w:val="00C902DC"/>
    <w:rsid w:val="00C9086F"/>
    <w:rsid w:val="00C91153"/>
    <w:rsid w:val="00C9276D"/>
    <w:rsid w:val="00C92D09"/>
    <w:rsid w:val="00C933CB"/>
    <w:rsid w:val="00C937FC"/>
    <w:rsid w:val="00C93A9A"/>
    <w:rsid w:val="00C93BC8"/>
    <w:rsid w:val="00C93BFA"/>
    <w:rsid w:val="00C9415B"/>
    <w:rsid w:val="00C943DD"/>
    <w:rsid w:val="00C944D9"/>
    <w:rsid w:val="00C94931"/>
    <w:rsid w:val="00C94D98"/>
    <w:rsid w:val="00C95651"/>
    <w:rsid w:val="00C96D70"/>
    <w:rsid w:val="00C96E1D"/>
    <w:rsid w:val="00C97502"/>
    <w:rsid w:val="00C977B7"/>
    <w:rsid w:val="00C9798A"/>
    <w:rsid w:val="00C97A2C"/>
    <w:rsid w:val="00CA12F9"/>
    <w:rsid w:val="00CA1716"/>
    <w:rsid w:val="00CA1858"/>
    <w:rsid w:val="00CA2205"/>
    <w:rsid w:val="00CA317B"/>
    <w:rsid w:val="00CA3195"/>
    <w:rsid w:val="00CA3F9A"/>
    <w:rsid w:val="00CA43C1"/>
    <w:rsid w:val="00CA4A5C"/>
    <w:rsid w:val="00CA4C3E"/>
    <w:rsid w:val="00CA51B8"/>
    <w:rsid w:val="00CA5257"/>
    <w:rsid w:val="00CA5681"/>
    <w:rsid w:val="00CA5B8A"/>
    <w:rsid w:val="00CA5DA8"/>
    <w:rsid w:val="00CA62B0"/>
    <w:rsid w:val="00CA6750"/>
    <w:rsid w:val="00CA7270"/>
    <w:rsid w:val="00CA72F3"/>
    <w:rsid w:val="00CA7D5E"/>
    <w:rsid w:val="00CB0A67"/>
    <w:rsid w:val="00CB2316"/>
    <w:rsid w:val="00CB2420"/>
    <w:rsid w:val="00CB2874"/>
    <w:rsid w:val="00CB294D"/>
    <w:rsid w:val="00CB2BD1"/>
    <w:rsid w:val="00CB311B"/>
    <w:rsid w:val="00CB365D"/>
    <w:rsid w:val="00CB3804"/>
    <w:rsid w:val="00CB3F4A"/>
    <w:rsid w:val="00CB3FFA"/>
    <w:rsid w:val="00CB44DB"/>
    <w:rsid w:val="00CB4AAF"/>
    <w:rsid w:val="00CB54BA"/>
    <w:rsid w:val="00CB57B6"/>
    <w:rsid w:val="00CB5E39"/>
    <w:rsid w:val="00CB6069"/>
    <w:rsid w:val="00CB697E"/>
    <w:rsid w:val="00CB6EB6"/>
    <w:rsid w:val="00CB7B08"/>
    <w:rsid w:val="00CC01F5"/>
    <w:rsid w:val="00CC05AC"/>
    <w:rsid w:val="00CC0823"/>
    <w:rsid w:val="00CC082E"/>
    <w:rsid w:val="00CC0D3B"/>
    <w:rsid w:val="00CC1A80"/>
    <w:rsid w:val="00CC1E3F"/>
    <w:rsid w:val="00CC2C8E"/>
    <w:rsid w:val="00CC3994"/>
    <w:rsid w:val="00CC39D5"/>
    <w:rsid w:val="00CC3D23"/>
    <w:rsid w:val="00CC3D51"/>
    <w:rsid w:val="00CC4312"/>
    <w:rsid w:val="00CC4586"/>
    <w:rsid w:val="00CC4DBD"/>
    <w:rsid w:val="00CC516A"/>
    <w:rsid w:val="00CC5EEB"/>
    <w:rsid w:val="00CC647F"/>
    <w:rsid w:val="00CC66EB"/>
    <w:rsid w:val="00CC6C89"/>
    <w:rsid w:val="00CC788D"/>
    <w:rsid w:val="00CC79AC"/>
    <w:rsid w:val="00CD072E"/>
    <w:rsid w:val="00CD07C7"/>
    <w:rsid w:val="00CD0D48"/>
    <w:rsid w:val="00CD1297"/>
    <w:rsid w:val="00CD2457"/>
    <w:rsid w:val="00CD25F6"/>
    <w:rsid w:val="00CD2B98"/>
    <w:rsid w:val="00CD4289"/>
    <w:rsid w:val="00CD489D"/>
    <w:rsid w:val="00CD504D"/>
    <w:rsid w:val="00CD5D49"/>
    <w:rsid w:val="00CD6142"/>
    <w:rsid w:val="00CD6602"/>
    <w:rsid w:val="00CD6D76"/>
    <w:rsid w:val="00CD6E78"/>
    <w:rsid w:val="00CD7011"/>
    <w:rsid w:val="00CD70EF"/>
    <w:rsid w:val="00CD71B7"/>
    <w:rsid w:val="00CD745D"/>
    <w:rsid w:val="00CD7514"/>
    <w:rsid w:val="00CE00D2"/>
    <w:rsid w:val="00CE0DB4"/>
    <w:rsid w:val="00CE1722"/>
    <w:rsid w:val="00CE1F2C"/>
    <w:rsid w:val="00CE27C7"/>
    <w:rsid w:val="00CE288A"/>
    <w:rsid w:val="00CE2EDD"/>
    <w:rsid w:val="00CE3363"/>
    <w:rsid w:val="00CE33E9"/>
    <w:rsid w:val="00CE3805"/>
    <w:rsid w:val="00CE384E"/>
    <w:rsid w:val="00CE49B2"/>
    <w:rsid w:val="00CE5429"/>
    <w:rsid w:val="00CE5919"/>
    <w:rsid w:val="00CE5E6E"/>
    <w:rsid w:val="00CE662B"/>
    <w:rsid w:val="00CE670C"/>
    <w:rsid w:val="00CE70FD"/>
    <w:rsid w:val="00CE7473"/>
    <w:rsid w:val="00CE74E7"/>
    <w:rsid w:val="00CE7BA8"/>
    <w:rsid w:val="00CF19C0"/>
    <w:rsid w:val="00CF2486"/>
    <w:rsid w:val="00CF2673"/>
    <w:rsid w:val="00CF26DB"/>
    <w:rsid w:val="00CF290E"/>
    <w:rsid w:val="00CF348A"/>
    <w:rsid w:val="00CF3C7D"/>
    <w:rsid w:val="00CF45EE"/>
    <w:rsid w:val="00CF5245"/>
    <w:rsid w:val="00CF5412"/>
    <w:rsid w:val="00CF6EFE"/>
    <w:rsid w:val="00CF781B"/>
    <w:rsid w:val="00CF7BB1"/>
    <w:rsid w:val="00CF7CFD"/>
    <w:rsid w:val="00D0012D"/>
    <w:rsid w:val="00D0020A"/>
    <w:rsid w:val="00D00AE1"/>
    <w:rsid w:val="00D017C9"/>
    <w:rsid w:val="00D01CC3"/>
    <w:rsid w:val="00D0202D"/>
    <w:rsid w:val="00D026AA"/>
    <w:rsid w:val="00D02D24"/>
    <w:rsid w:val="00D035C4"/>
    <w:rsid w:val="00D03C85"/>
    <w:rsid w:val="00D03D57"/>
    <w:rsid w:val="00D040C5"/>
    <w:rsid w:val="00D05138"/>
    <w:rsid w:val="00D0547B"/>
    <w:rsid w:val="00D05727"/>
    <w:rsid w:val="00D05854"/>
    <w:rsid w:val="00D063E8"/>
    <w:rsid w:val="00D06662"/>
    <w:rsid w:val="00D0696F"/>
    <w:rsid w:val="00D06B4C"/>
    <w:rsid w:val="00D06BD6"/>
    <w:rsid w:val="00D0705D"/>
    <w:rsid w:val="00D074E9"/>
    <w:rsid w:val="00D07A4C"/>
    <w:rsid w:val="00D07B63"/>
    <w:rsid w:val="00D07BAD"/>
    <w:rsid w:val="00D10802"/>
    <w:rsid w:val="00D11240"/>
    <w:rsid w:val="00D11256"/>
    <w:rsid w:val="00D12190"/>
    <w:rsid w:val="00D12628"/>
    <w:rsid w:val="00D12682"/>
    <w:rsid w:val="00D1289C"/>
    <w:rsid w:val="00D1393B"/>
    <w:rsid w:val="00D139C6"/>
    <w:rsid w:val="00D13E38"/>
    <w:rsid w:val="00D14558"/>
    <w:rsid w:val="00D1456F"/>
    <w:rsid w:val="00D15BD9"/>
    <w:rsid w:val="00D1694A"/>
    <w:rsid w:val="00D16D13"/>
    <w:rsid w:val="00D1723D"/>
    <w:rsid w:val="00D1780F"/>
    <w:rsid w:val="00D17F33"/>
    <w:rsid w:val="00D20A7B"/>
    <w:rsid w:val="00D20E4D"/>
    <w:rsid w:val="00D2107F"/>
    <w:rsid w:val="00D217CE"/>
    <w:rsid w:val="00D21F54"/>
    <w:rsid w:val="00D22201"/>
    <w:rsid w:val="00D22431"/>
    <w:rsid w:val="00D22E4C"/>
    <w:rsid w:val="00D23837"/>
    <w:rsid w:val="00D23ED0"/>
    <w:rsid w:val="00D2436F"/>
    <w:rsid w:val="00D24477"/>
    <w:rsid w:val="00D24630"/>
    <w:rsid w:val="00D24952"/>
    <w:rsid w:val="00D24A00"/>
    <w:rsid w:val="00D253A7"/>
    <w:rsid w:val="00D25EAE"/>
    <w:rsid w:val="00D26498"/>
    <w:rsid w:val="00D269A9"/>
    <w:rsid w:val="00D273D0"/>
    <w:rsid w:val="00D2796A"/>
    <w:rsid w:val="00D305A3"/>
    <w:rsid w:val="00D30C36"/>
    <w:rsid w:val="00D30E7C"/>
    <w:rsid w:val="00D30E9C"/>
    <w:rsid w:val="00D30FB7"/>
    <w:rsid w:val="00D31052"/>
    <w:rsid w:val="00D31515"/>
    <w:rsid w:val="00D323A3"/>
    <w:rsid w:val="00D323A5"/>
    <w:rsid w:val="00D326C5"/>
    <w:rsid w:val="00D326DB"/>
    <w:rsid w:val="00D32A7A"/>
    <w:rsid w:val="00D32CED"/>
    <w:rsid w:val="00D337A9"/>
    <w:rsid w:val="00D3381C"/>
    <w:rsid w:val="00D33D64"/>
    <w:rsid w:val="00D33F95"/>
    <w:rsid w:val="00D33FAB"/>
    <w:rsid w:val="00D355A9"/>
    <w:rsid w:val="00D363D3"/>
    <w:rsid w:val="00D36B4A"/>
    <w:rsid w:val="00D372CB"/>
    <w:rsid w:val="00D37A69"/>
    <w:rsid w:val="00D37B8D"/>
    <w:rsid w:val="00D37BAE"/>
    <w:rsid w:val="00D406E3"/>
    <w:rsid w:val="00D415E9"/>
    <w:rsid w:val="00D41C88"/>
    <w:rsid w:val="00D41D13"/>
    <w:rsid w:val="00D42607"/>
    <w:rsid w:val="00D4297D"/>
    <w:rsid w:val="00D43029"/>
    <w:rsid w:val="00D44105"/>
    <w:rsid w:val="00D44470"/>
    <w:rsid w:val="00D451B7"/>
    <w:rsid w:val="00D45247"/>
    <w:rsid w:val="00D45335"/>
    <w:rsid w:val="00D45B55"/>
    <w:rsid w:val="00D46C12"/>
    <w:rsid w:val="00D473D6"/>
    <w:rsid w:val="00D4787D"/>
    <w:rsid w:val="00D50016"/>
    <w:rsid w:val="00D501A9"/>
    <w:rsid w:val="00D50977"/>
    <w:rsid w:val="00D51D72"/>
    <w:rsid w:val="00D5221C"/>
    <w:rsid w:val="00D5263A"/>
    <w:rsid w:val="00D526E8"/>
    <w:rsid w:val="00D52AE1"/>
    <w:rsid w:val="00D52BE3"/>
    <w:rsid w:val="00D52D2F"/>
    <w:rsid w:val="00D52E57"/>
    <w:rsid w:val="00D53139"/>
    <w:rsid w:val="00D533E6"/>
    <w:rsid w:val="00D537AE"/>
    <w:rsid w:val="00D53FA6"/>
    <w:rsid w:val="00D548A3"/>
    <w:rsid w:val="00D54922"/>
    <w:rsid w:val="00D555CA"/>
    <w:rsid w:val="00D55D6B"/>
    <w:rsid w:val="00D55E37"/>
    <w:rsid w:val="00D561D2"/>
    <w:rsid w:val="00D561EF"/>
    <w:rsid w:val="00D56364"/>
    <w:rsid w:val="00D609AC"/>
    <w:rsid w:val="00D6144D"/>
    <w:rsid w:val="00D619EC"/>
    <w:rsid w:val="00D61C14"/>
    <w:rsid w:val="00D63889"/>
    <w:rsid w:val="00D644D7"/>
    <w:rsid w:val="00D645E7"/>
    <w:rsid w:val="00D65927"/>
    <w:rsid w:val="00D66013"/>
    <w:rsid w:val="00D66801"/>
    <w:rsid w:val="00D66BFD"/>
    <w:rsid w:val="00D67868"/>
    <w:rsid w:val="00D70215"/>
    <w:rsid w:val="00D708CC"/>
    <w:rsid w:val="00D70C33"/>
    <w:rsid w:val="00D71686"/>
    <w:rsid w:val="00D718BF"/>
    <w:rsid w:val="00D719D5"/>
    <w:rsid w:val="00D71B5B"/>
    <w:rsid w:val="00D71E26"/>
    <w:rsid w:val="00D71E56"/>
    <w:rsid w:val="00D71F98"/>
    <w:rsid w:val="00D722DD"/>
    <w:rsid w:val="00D72861"/>
    <w:rsid w:val="00D73F85"/>
    <w:rsid w:val="00D742E4"/>
    <w:rsid w:val="00D753D7"/>
    <w:rsid w:val="00D754D9"/>
    <w:rsid w:val="00D75DDF"/>
    <w:rsid w:val="00D76138"/>
    <w:rsid w:val="00D76C28"/>
    <w:rsid w:val="00D7703F"/>
    <w:rsid w:val="00D77A4E"/>
    <w:rsid w:val="00D8018E"/>
    <w:rsid w:val="00D8026E"/>
    <w:rsid w:val="00D80AE2"/>
    <w:rsid w:val="00D80FCA"/>
    <w:rsid w:val="00D81325"/>
    <w:rsid w:val="00D81CF6"/>
    <w:rsid w:val="00D822AE"/>
    <w:rsid w:val="00D82E79"/>
    <w:rsid w:val="00D8352E"/>
    <w:rsid w:val="00D83682"/>
    <w:rsid w:val="00D83719"/>
    <w:rsid w:val="00D83BB0"/>
    <w:rsid w:val="00D8417B"/>
    <w:rsid w:val="00D8432B"/>
    <w:rsid w:val="00D846B2"/>
    <w:rsid w:val="00D849B1"/>
    <w:rsid w:val="00D85015"/>
    <w:rsid w:val="00D85216"/>
    <w:rsid w:val="00D8522E"/>
    <w:rsid w:val="00D85573"/>
    <w:rsid w:val="00D85F1E"/>
    <w:rsid w:val="00D862C5"/>
    <w:rsid w:val="00D86BA2"/>
    <w:rsid w:val="00D86C86"/>
    <w:rsid w:val="00D86CDE"/>
    <w:rsid w:val="00D876BA"/>
    <w:rsid w:val="00D87AF6"/>
    <w:rsid w:val="00D87E38"/>
    <w:rsid w:val="00D90095"/>
    <w:rsid w:val="00D90722"/>
    <w:rsid w:val="00D91156"/>
    <w:rsid w:val="00D917D5"/>
    <w:rsid w:val="00D9248D"/>
    <w:rsid w:val="00D9262F"/>
    <w:rsid w:val="00D92FEF"/>
    <w:rsid w:val="00D93248"/>
    <w:rsid w:val="00D935F0"/>
    <w:rsid w:val="00D936E5"/>
    <w:rsid w:val="00D93F71"/>
    <w:rsid w:val="00D946A8"/>
    <w:rsid w:val="00D949E6"/>
    <w:rsid w:val="00D94AAA"/>
    <w:rsid w:val="00D94DB9"/>
    <w:rsid w:val="00D954E6"/>
    <w:rsid w:val="00D95B70"/>
    <w:rsid w:val="00D96BEB"/>
    <w:rsid w:val="00D96D0C"/>
    <w:rsid w:val="00D97A15"/>
    <w:rsid w:val="00D97E53"/>
    <w:rsid w:val="00DA0455"/>
    <w:rsid w:val="00DA04D5"/>
    <w:rsid w:val="00DA0A36"/>
    <w:rsid w:val="00DA0BA8"/>
    <w:rsid w:val="00DA0C53"/>
    <w:rsid w:val="00DA1A55"/>
    <w:rsid w:val="00DA27B8"/>
    <w:rsid w:val="00DA28C9"/>
    <w:rsid w:val="00DA305B"/>
    <w:rsid w:val="00DA371D"/>
    <w:rsid w:val="00DA3887"/>
    <w:rsid w:val="00DA3BD6"/>
    <w:rsid w:val="00DA3F4D"/>
    <w:rsid w:val="00DA43D3"/>
    <w:rsid w:val="00DA4EC5"/>
    <w:rsid w:val="00DA4FA2"/>
    <w:rsid w:val="00DA5244"/>
    <w:rsid w:val="00DA5E5E"/>
    <w:rsid w:val="00DA5FC0"/>
    <w:rsid w:val="00DA6144"/>
    <w:rsid w:val="00DA6ADC"/>
    <w:rsid w:val="00DA7CDE"/>
    <w:rsid w:val="00DA7FE8"/>
    <w:rsid w:val="00DB095D"/>
    <w:rsid w:val="00DB0E35"/>
    <w:rsid w:val="00DB190E"/>
    <w:rsid w:val="00DB326F"/>
    <w:rsid w:val="00DB33D7"/>
    <w:rsid w:val="00DB3950"/>
    <w:rsid w:val="00DB426E"/>
    <w:rsid w:val="00DB42C2"/>
    <w:rsid w:val="00DB4382"/>
    <w:rsid w:val="00DB4955"/>
    <w:rsid w:val="00DB514A"/>
    <w:rsid w:val="00DB5C05"/>
    <w:rsid w:val="00DB657C"/>
    <w:rsid w:val="00DB674B"/>
    <w:rsid w:val="00DB69C5"/>
    <w:rsid w:val="00DB6C9C"/>
    <w:rsid w:val="00DB716E"/>
    <w:rsid w:val="00DB73AA"/>
    <w:rsid w:val="00DB75A5"/>
    <w:rsid w:val="00DC0532"/>
    <w:rsid w:val="00DC0A86"/>
    <w:rsid w:val="00DC0C56"/>
    <w:rsid w:val="00DC0D16"/>
    <w:rsid w:val="00DC0E7D"/>
    <w:rsid w:val="00DC1611"/>
    <w:rsid w:val="00DC171F"/>
    <w:rsid w:val="00DC1B23"/>
    <w:rsid w:val="00DC2A8C"/>
    <w:rsid w:val="00DC3119"/>
    <w:rsid w:val="00DC3240"/>
    <w:rsid w:val="00DC3E1A"/>
    <w:rsid w:val="00DC4117"/>
    <w:rsid w:val="00DC4670"/>
    <w:rsid w:val="00DC48BE"/>
    <w:rsid w:val="00DC4B0F"/>
    <w:rsid w:val="00DC4C92"/>
    <w:rsid w:val="00DC5BC1"/>
    <w:rsid w:val="00DC6527"/>
    <w:rsid w:val="00DC661D"/>
    <w:rsid w:val="00DC67FB"/>
    <w:rsid w:val="00DC6FA0"/>
    <w:rsid w:val="00DC6FA6"/>
    <w:rsid w:val="00DC766F"/>
    <w:rsid w:val="00DD0460"/>
    <w:rsid w:val="00DD0C57"/>
    <w:rsid w:val="00DD129C"/>
    <w:rsid w:val="00DD14A3"/>
    <w:rsid w:val="00DD15C3"/>
    <w:rsid w:val="00DD21BF"/>
    <w:rsid w:val="00DD29BE"/>
    <w:rsid w:val="00DD2A17"/>
    <w:rsid w:val="00DD2C4C"/>
    <w:rsid w:val="00DD306C"/>
    <w:rsid w:val="00DD35FD"/>
    <w:rsid w:val="00DD4C0E"/>
    <w:rsid w:val="00DD4CE7"/>
    <w:rsid w:val="00DD4FDD"/>
    <w:rsid w:val="00DD548B"/>
    <w:rsid w:val="00DD54B0"/>
    <w:rsid w:val="00DD62A9"/>
    <w:rsid w:val="00DD62EF"/>
    <w:rsid w:val="00DD6FAA"/>
    <w:rsid w:val="00DD7613"/>
    <w:rsid w:val="00DE072D"/>
    <w:rsid w:val="00DE0968"/>
    <w:rsid w:val="00DE2F9C"/>
    <w:rsid w:val="00DE30F1"/>
    <w:rsid w:val="00DE3370"/>
    <w:rsid w:val="00DE3B6F"/>
    <w:rsid w:val="00DE44A2"/>
    <w:rsid w:val="00DE45D2"/>
    <w:rsid w:val="00DE4C9B"/>
    <w:rsid w:val="00DE5068"/>
    <w:rsid w:val="00DE5088"/>
    <w:rsid w:val="00DE5777"/>
    <w:rsid w:val="00DE5EFD"/>
    <w:rsid w:val="00DE67D2"/>
    <w:rsid w:val="00DE73A5"/>
    <w:rsid w:val="00DE79EB"/>
    <w:rsid w:val="00DE7F56"/>
    <w:rsid w:val="00DF0899"/>
    <w:rsid w:val="00DF16F7"/>
    <w:rsid w:val="00DF1755"/>
    <w:rsid w:val="00DF2318"/>
    <w:rsid w:val="00DF2450"/>
    <w:rsid w:val="00DF251A"/>
    <w:rsid w:val="00DF32E5"/>
    <w:rsid w:val="00DF3478"/>
    <w:rsid w:val="00DF50EF"/>
    <w:rsid w:val="00DF588C"/>
    <w:rsid w:val="00DF5BEE"/>
    <w:rsid w:val="00DF6070"/>
    <w:rsid w:val="00DF63C0"/>
    <w:rsid w:val="00DF652E"/>
    <w:rsid w:val="00DF6722"/>
    <w:rsid w:val="00DF68B7"/>
    <w:rsid w:val="00DF702A"/>
    <w:rsid w:val="00DF76FF"/>
    <w:rsid w:val="00E00F0C"/>
    <w:rsid w:val="00E00FA4"/>
    <w:rsid w:val="00E01157"/>
    <w:rsid w:val="00E02502"/>
    <w:rsid w:val="00E02708"/>
    <w:rsid w:val="00E0325C"/>
    <w:rsid w:val="00E038AB"/>
    <w:rsid w:val="00E03C70"/>
    <w:rsid w:val="00E03F00"/>
    <w:rsid w:val="00E041B3"/>
    <w:rsid w:val="00E041E5"/>
    <w:rsid w:val="00E042FF"/>
    <w:rsid w:val="00E04CC8"/>
    <w:rsid w:val="00E0514C"/>
    <w:rsid w:val="00E0515F"/>
    <w:rsid w:val="00E05339"/>
    <w:rsid w:val="00E0605D"/>
    <w:rsid w:val="00E07109"/>
    <w:rsid w:val="00E10459"/>
    <w:rsid w:val="00E10776"/>
    <w:rsid w:val="00E107DE"/>
    <w:rsid w:val="00E10C38"/>
    <w:rsid w:val="00E10D08"/>
    <w:rsid w:val="00E11635"/>
    <w:rsid w:val="00E119D7"/>
    <w:rsid w:val="00E131C9"/>
    <w:rsid w:val="00E13812"/>
    <w:rsid w:val="00E141C7"/>
    <w:rsid w:val="00E14B97"/>
    <w:rsid w:val="00E14EAF"/>
    <w:rsid w:val="00E1521D"/>
    <w:rsid w:val="00E15F65"/>
    <w:rsid w:val="00E16372"/>
    <w:rsid w:val="00E16FBD"/>
    <w:rsid w:val="00E17CFA"/>
    <w:rsid w:val="00E17E0E"/>
    <w:rsid w:val="00E20043"/>
    <w:rsid w:val="00E202E4"/>
    <w:rsid w:val="00E20C4D"/>
    <w:rsid w:val="00E21164"/>
    <w:rsid w:val="00E21467"/>
    <w:rsid w:val="00E21728"/>
    <w:rsid w:val="00E218BD"/>
    <w:rsid w:val="00E21C86"/>
    <w:rsid w:val="00E21CB0"/>
    <w:rsid w:val="00E22403"/>
    <w:rsid w:val="00E24211"/>
    <w:rsid w:val="00E24227"/>
    <w:rsid w:val="00E24381"/>
    <w:rsid w:val="00E24F34"/>
    <w:rsid w:val="00E25742"/>
    <w:rsid w:val="00E2587A"/>
    <w:rsid w:val="00E2589C"/>
    <w:rsid w:val="00E25ABB"/>
    <w:rsid w:val="00E25E8A"/>
    <w:rsid w:val="00E25EFE"/>
    <w:rsid w:val="00E260DC"/>
    <w:rsid w:val="00E27B84"/>
    <w:rsid w:val="00E27BB2"/>
    <w:rsid w:val="00E27F52"/>
    <w:rsid w:val="00E30085"/>
    <w:rsid w:val="00E30DC9"/>
    <w:rsid w:val="00E3116B"/>
    <w:rsid w:val="00E32245"/>
    <w:rsid w:val="00E329BC"/>
    <w:rsid w:val="00E32AA4"/>
    <w:rsid w:val="00E32BDE"/>
    <w:rsid w:val="00E32C28"/>
    <w:rsid w:val="00E32C50"/>
    <w:rsid w:val="00E32D71"/>
    <w:rsid w:val="00E32DAA"/>
    <w:rsid w:val="00E333EA"/>
    <w:rsid w:val="00E3394B"/>
    <w:rsid w:val="00E3395E"/>
    <w:rsid w:val="00E34977"/>
    <w:rsid w:val="00E35392"/>
    <w:rsid w:val="00E35526"/>
    <w:rsid w:val="00E3585E"/>
    <w:rsid w:val="00E358FA"/>
    <w:rsid w:val="00E3596F"/>
    <w:rsid w:val="00E35A82"/>
    <w:rsid w:val="00E37523"/>
    <w:rsid w:val="00E4011B"/>
    <w:rsid w:val="00E405DD"/>
    <w:rsid w:val="00E40BD4"/>
    <w:rsid w:val="00E40CAB"/>
    <w:rsid w:val="00E41461"/>
    <w:rsid w:val="00E41A6C"/>
    <w:rsid w:val="00E41D2D"/>
    <w:rsid w:val="00E42B27"/>
    <w:rsid w:val="00E43BA9"/>
    <w:rsid w:val="00E44447"/>
    <w:rsid w:val="00E446EB"/>
    <w:rsid w:val="00E4510D"/>
    <w:rsid w:val="00E452CF"/>
    <w:rsid w:val="00E454CF"/>
    <w:rsid w:val="00E46BA3"/>
    <w:rsid w:val="00E46F29"/>
    <w:rsid w:val="00E47A1E"/>
    <w:rsid w:val="00E47C71"/>
    <w:rsid w:val="00E47CA3"/>
    <w:rsid w:val="00E47D73"/>
    <w:rsid w:val="00E47F2D"/>
    <w:rsid w:val="00E50671"/>
    <w:rsid w:val="00E50766"/>
    <w:rsid w:val="00E5085C"/>
    <w:rsid w:val="00E50AC7"/>
    <w:rsid w:val="00E51181"/>
    <w:rsid w:val="00E51303"/>
    <w:rsid w:val="00E514E9"/>
    <w:rsid w:val="00E51C83"/>
    <w:rsid w:val="00E52485"/>
    <w:rsid w:val="00E5337B"/>
    <w:rsid w:val="00E5346F"/>
    <w:rsid w:val="00E557A2"/>
    <w:rsid w:val="00E557BD"/>
    <w:rsid w:val="00E55954"/>
    <w:rsid w:val="00E564D2"/>
    <w:rsid w:val="00E56C52"/>
    <w:rsid w:val="00E57A65"/>
    <w:rsid w:val="00E57D27"/>
    <w:rsid w:val="00E6089B"/>
    <w:rsid w:val="00E6143B"/>
    <w:rsid w:val="00E6175C"/>
    <w:rsid w:val="00E626E1"/>
    <w:rsid w:val="00E626E2"/>
    <w:rsid w:val="00E62C23"/>
    <w:rsid w:val="00E62DE9"/>
    <w:rsid w:val="00E63E1D"/>
    <w:rsid w:val="00E64FE7"/>
    <w:rsid w:val="00E65650"/>
    <w:rsid w:val="00E656B1"/>
    <w:rsid w:val="00E65CB6"/>
    <w:rsid w:val="00E65E59"/>
    <w:rsid w:val="00E6673A"/>
    <w:rsid w:val="00E66AA2"/>
    <w:rsid w:val="00E70152"/>
    <w:rsid w:val="00E705CE"/>
    <w:rsid w:val="00E70C4D"/>
    <w:rsid w:val="00E712C2"/>
    <w:rsid w:val="00E71428"/>
    <w:rsid w:val="00E714E6"/>
    <w:rsid w:val="00E71D04"/>
    <w:rsid w:val="00E72672"/>
    <w:rsid w:val="00E72897"/>
    <w:rsid w:val="00E72DBF"/>
    <w:rsid w:val="00E72FAB"/>
    <w:rsid w:val="00E73ED2"/>
    <w:rsid w:val="00E74522"/>
    <w:rsid w:val="00E74B02"/>
    <w:rsid w:val="00E753EB"/>
    <w:rsid w:val="00E756CC"/>
    <w:rsid w:val="00E75F60"/>
    <w:rsid w:val="00E760A4"/>
    <w:rsid w:val="00E7650C"/>
    <w:rsid w:val="00E76520"/>
    <w:rsid w:val="00E76D7A"/>
    <w:rsid w:val="00E77265"/>
    <w:rsid w:val="00E7799D"/>
    <w:rsid w:val="00E80E30"/>
    <w:rsid w:val="00E80F32"/>
    <w:rsid w:val="00E81CC2"/>
    <w:rsid w:val="00E82060"/>
    <w:rsid w:val="00E82412"/>
    <w:rsid w:val="00E8291D"/>
    <w:rsid w:val="00E8310B"/>
    <w:rsid w:val="00E8319B"/>
    <w:rsid w:val="00E831C1"/>
    <w:rsid w:val="00E8343A"/>
    <w:rsid w:val="00E83924"/>
    <w:rsid w:val="00E84F03"/>
    <w:rsid w:val="00E85CF6"/>
    <w:rsid w:val="00E86BF6"/>
    <w:rsid w:val="00E874F1"/>
    <w:rsid w:val="00E87676"/>
    <w:rsid w:val="00E87689"/>
    <w:rsid w:val="00E907F4"/>
    <w:rsid w:val="00E914BC"/>
    <w:rsid w:val="00E91571"/>
    <w:rsid w:val="00E9172E"/>
    <w:rsid w:val="00E921FF"/>
    <w:rsid w:val="00E92C97"/>
    <w:rsid w:val="00E93276"/>
    <w:rsid w:val="00E935AE"/>
    <w:rsid w:val="00E9403F"/>
    <w:rsid w:val="00E946DA"/>
    <w:rsid w:val="00E94B92"/>
    <w:rsid w:val="00E95A90"/>
    <w:rsid w:val="00E96303"/>
    <w:rsid w:val="00E9641A"/>
    <w:rsid w:val="00E9682E"/>
    <w:rsid w:val="00E96AF1"/>
    <w:rsid w:val="00E96C2F"/>
    <w:rsid w:val="00E96DEF"/>
    <w:rsid w:val="00E971ED"/>
    <w:rsid w:val="00E9739F"/>
    <w:rsid w:val="00E97B69"/>
    <w:rsid w:val="00EA0A3A"/>
    <w:rsid w:val="00EA164C"/>
    <w:rsid w:val="00EA1C92"/>
    <w:rsid w:val="00EA1CEA"/>
    <w:rsid w:val="00EA2004"/>
    <w:rsid w:val="00EA2AA2"/>
    <w:rsid w:val="00EA2AC9"/>
    <w:rsid w:val="00EA2C64"/>
    <w:rsid w:val="00EA31F4"/>
    <w:rsid w:val="00EA3380"/>
    <w:rsid w:val="00EA3B3E"/>
    <w:rsid w:val="00EA3C46"/>
    <w:rsid w:val="00EA3EAB"/>
    <w:rsid w:val="00EA432E"/>
    <w:rsid w:val="00EA57E3"/>
    <w:rsid w:val="00EA5EEC"/>
    <w:rsid w:val="00EA62DB"/>
    <w:rsid w:val="00EA70E5"/>
    <w:rsid w:val="00EB0152"/>
    <w:rsid w:val="00EB041B"/>
    <w:rsid w:val="00EB273B"/>
    <w:rsid w:val="00EB300C"/>
    <w:rsid w:val="00EB3091"/>
    <w:rsid w:val="00EB3425"/>
    <w:rsid w:val="00EB37E7"/>
    <w:rsid w:val="00EB3927"/>
    <w:rsid w:val="00EB481B"/>
    <w:rsid w:val="00EB54CF"/>
    <w:rsid w:val="00EB58F8"/>
    <w:rsid w:val="00EB5B7B"/>
    <w:rsid w:val="00EB5BF8"/>
    <w:rsid w:val="00EB5FD3"/>
    <w:rsid w:val="00EB6365"/>
    <w:rsid w:val="00EB63BD"/>
    <w:rsid w:val="00EB6C07"/>
    <w:rsid w:val="00EB7E5F"/>
    <w:rsid w:val="00EC0515"/>
    <w:rsid w:val="00EC0569"/>
    <w:rsid w:val="00EC099F"/>
    <w:rsid w:val="00EC0D5D"/>
    <w:rsid w:val="00EC0FC5"/>
    <w:rsid w:val="00EC15D8"/>
    <w:rsid w:val="00EC1DC8"/>
    <w:rsid w:val="00EC27C4"/>
    <w:rsid w:val="00EC2D74"/>
    <w:rsid w:val="00EC2EA3"/>
    <w:rsid w:val="00EC31CD"/>
    <w:rsid w:val="00EC32A2"/>
    <w:rsid w:val="00EC33CD"/>
    <w:rsid w:val="00EC3646"/>
    <w:rsid w:val="00EC3954"/>
    <w:rsid w:val="00EC3A51"/>
    <w:rsid w:val="00EC3DF7"/>
    <w:rsid w:val="00EC3F75"/>
    <w:rsid w:val="00EC40BC"/>
    <w:rsid w:val="00EC40C9"/>
    <w:rsid w:val="00EC4ED3"/>
    <w:rsid w:val="00EC548C"/>
    <w:rsid w:val="00EC68A5"/>
    <w:rsid w:val="00EC7355"/>
    <w:rsid w:val="00EC740D"/>
    <w:rsid w:val="00EC7DB1"/>
    <w:rsid w:val="00ED0B96"/>
    <w:rsid w:val="00ED12BF"/>
    <w:rsid w:val="00ED12DC"/>
    <w:rsid w:val="00ED19C9"/>
    <w:rsid w:val="00ED1F01"/>
    <w:rsid w:val="00ED2000"/>
    <w:rsid w:val="00ED253E"/>
    <w:rsid w:val="00ED2833"/>
    <w:rsid w:val="00ED2C6C"/>
    <w:rsid w:val="00ED31E5"/>
    <w:rsid w:val="00ED414C"/>
    <w:rsid w:val="00ED4513"/>
    <w:rsid w:val="00ED46FD"/>
    <w:rsid w:val="00ED5258"/>
    <w:rsid w:val="00ED528C"/>
    <w:rsid w:val="00ED555C"/>
    <w:rsid w:val="00ED628A"/>
    <w:rsid w:val="00ED6503"/>
    <w:rsid w:val="00ED66B0"/>
    <w:rsid w:val="00ED6EA4"/>
    <w:rsid w:val="00ED6F20"/>
    <w:rsid w:val="00EE2776"/>
    <w:rsid w:val="00EE32E9"/>
    <w:rsid w:val="00EE33CF"/>
    <w:rsid w:val="00EE354D"/>
    <w:rsid w:val="00EE4490"/>
    <w:rsid w:val="00EE4680"/>
    <w:rsid w:val="00EE5368"/>
    <w:rsid w:val="00EE5801"/>
    <w:rsid w:val="00EE5967"/>
    <w:rsid w:val="00EE60E6"/>
    <w:rsid w:val="00EE6EBD"/>
    <w:rsid w:val="00EE74C0"/>
    <w:rsid w:val="00EE7FD4"/>
    <w:rsid w:val="00EE7FEB"/>
    <w:rsid w:val="00EF02E3"/>
    <w:rsid w:val="00EF031F"/>
    <w:rsid w:val="00EF0BA8"/>
    <w:rsid w:val="00EF16DD"/>
    <w:rsid w:val="00EF1856"/>
    <w:rsid w:val="00EF3742"/>
    <w:rsid w:val="00EF3A03"/>
    <w:rsid w:val="00EF4363"/>
    <w:rsid w:val="00EF43D2"/>
    <w:rsid w:val="00EF4B81"/>
    <w:rsid w:val="00EF4BB3"/>
    <w:rsid w:val="00EF4D96"/>
    <w:rsid w:val="00EF4E17"/>
    <w:rsid w:val="00EF4FCC"/>
    <w:rsid w:val="00EF55A0"/>
    <w:rsid w:val="00EF5613"/>
    <w:rsid w:val="00EF5A41"/>
    <w:rsid w:val="00EF5B9E"/>
    <w:rsid w:val="00EF5E65"/>
    <w:rsid w:val="00EF6DEA"/>
    <w:rsid w:val="00EF6E9D"/>
    <w:rsid w:val="00EF76B0"/>
    <w:rsid w:val="00EF77E9"/>
    <w:rsid w:val="00F00077"/>
    <w:rsid w:val="00F0062B"/>
    <w:rsid w:val="00F008DF"/>
    <w:rsid w:val="00F00929"/>
    <w:rsid w:val="00F00948"/>
    <w:rsid w:val="00F00D6C"/>
    <w:rsid w:val="00F0107E"/>
    <w:rsid w:val="00F012EF"/>
    <w:rsid w:val="00F01821"/>
    <w:rsid w:val="00F01C45"/>
    <w:rsid w:val="00F01DA6"/>
    <w:rsid w:val="00F027DF"/>
    <w:rsid w:val="00F032FF"/>
    <w:rsid w:val="00F0362B"/>
    <w:rsid w:val="00F03956"/>
    <w:rsid w:val="00F0438F"/>
    <w:rsid w:val="00F0585E"/>
    <w:rsid w:val="00F05EB4"/>
    <w:rsid w:val="00F0620C"/>
    <w:rsid w:val="00F062DE"/>
    <w:rsid w:val="00F06CBC"/>
    <w:rsid w:val="00F1011B"/>
    <w:rsid w:val="00F101A1"/>
    <w:rsid w:val="00F1055C"/>
    <w:rsid w:val="00F10B8F"/>
    <w:rsid w:val="00F11832"/>
    <w:rsid w:val="00F119A0"/>
    <w:rsid w:val="00F11AC7"/>
    <w:rsid w:val="00F13114"/>
    <w:rsid w:val="00F14075"/>
    <w:rsid w:val="00F142E8"/>
    <w:rsid w:val="00F14917"/>
    <w:rsid w:val="00F14D38"/>
    <w:rsid w:val="00F14E89"/>
    <w:rsid w:val="00F15065"/>
    <w:rsid w:val="00F15988"/>
    <w:rsid w:val="00F15A63"/>
    <w:rsid w:val="00F20231"/>
    <w:rsid w:val="00F20E7D"/>
    <w:rsid w:val="00F217F6"/>
    <w:rsid w:val="00F21D2B"/>
    <w:rsid w:val="00F21EB7"/>
    <w:rsid w:val="00F223C9"/>
    <w:rsid w:val="00F223D6"/>
    <w:rsid w:val="00F227BB"/>
    <w:rsid w:val="00F22B26"/>
    <w:rsid w:val="00F236CB"/>
    <w:rsid w:val="00F23D3C"/>
    <w:rsid w:val="00F23D6B"/>
    <w:rsid w:val="00F247DC"/>
    <w:rsid w:val="00F24C0B"/>
    <w:rsid w:val="00F251FA"/>
    <w:rsid w:val="00F25BE8"/>
    <w:rsid w:val="00F26085"/>
    <w:rsid w:val="00F26252"/>
    <w:rsid w:val="00F267C1"/>
    <w:rsid w:val="00F27420"/>
    <w:rsid w:val="00F2773E"/>
    <w:rsid w:val="00F277ED"/>
    <w:rsid w:val="00F27900"/>
    <w:rsid w:val="00F30094"/>
    <w:rsid w:val="00F304A6"/>
    <w:rsid w:val="00F306DF"/>
    <w:rsid w:val="00F307A0"/>
    <w:rsid w:val="00F30ABC"/>
    <w:rsid w:val="00F31319"/>
    <w:rsid w:val="00F31727"/>
    <w:rsid w:val="00F31EF0"/>
    <w:rsid w:val="00F32967"/>
    <w:rsid w:val="00F32E27"/>
    <w:rsid w:val="00F32E64"/>
    <w:rsid w:val="00F3338E"/>
    <w:rsid w:val="00F33F9B"/>
    <w:rsid w:val="00F343B6"/>
    <w:rsid w:val="00F3440C"/>
    <w:rsid w:val="00F3444F"/>
    <w:rsid w:val="00F34E15"/>
    <w:rsid w:val="00F351E2"/>
    <w:rsid w:val="00F35ACA"/>
    <w:rsid w:val="00F3686B"/>
    <w:rsid w:val="00F371CC"/>
    <w:rsid w:val="00F37315"/>
    <w:rsid w:val="00F3759F"/>
    <w:rsid w:val="00F40984"/>
    <w:rsid w:val="00F41038"/>
    <w:rsid w:val="00F41265"/>
    <w:rsid w:val="00F41A0F"/>
    <w:rsid w:val="00F422D0"/>
    <w:rsid w:val="00F4280C"/>
    <w:rsid w:val="00F42A4D"/>
    <w:rsid w:val="00F42A61"/>
    <w:rsid w:val="00F42B66"/>
    <w:rsid w:val="00F4382A"/>
    <w:rsid w:val="00F4460A"/>
    <w:rsid w:val="00F44B7C"/>
    <w:rsid w:val="00F4525C"/>
    <w:rsid w:val="00F45F76"/>
    <w:rsid w:val="00F45FA4"/>
    <w:rsid w:val="00F46148"/>
    <w:rsid w:val="00F464EF"/>
    <w:rsid w:val="00F46986"/>
    <w:rsid w:val="00F46A3A"/>
    <w:rsid w:val="00F46A90"/>
    <w:rsid w:val="00F46FDC"/>
    <w:rsid w:val="00F470EA"/>
    <w:rsid w:val="00F47B11"/>
    <w:rsid w:val="00F50786"/>
    <w:rsid w:val="00F511D9"/>
    <w:rsid w:val="00F512E3"/>
    <w:rsid w:val="00F516C0"/>
    <w:rsid w:val="00F51DB5"/>
    <w:rsid w:val="00F52E11"/>
    <w:rsid w:val="00F541E0"/>
    <w:rsid w:val="00F54D95"/>
    <w:rsid w:val="00F5520B"/>
    <w:rsid w:val="00F55DB9"/>
    <w:rsid w:val="00F5615F"/>
    <w:rsid w:val="00F56392"/>
    <w:rsid w:val="00F564EC"/>
    <w:rsid w:val="00F565F5"/>
    <w:rsid w:val="00F574CA"/>
    <w:rsid w:val="00F6058C"/>
    <w:rsid w:val="00F6062E"/>
    <w:rsid w:val="00F60C34"/>
    <w:rsid w:val="00F60C5B"/>
    <w:rsid w:val="00F60CB2"/>
    <w:rsid w:val="00F60CF2"/>
    <w:rsid w:val="00F61038"/>
    <w:rsid w:val="00F611B5"/>
    <w:rsid w:val="00F61447"/>
    <w:rsid w:val="00F61AEA"/>
    <w:rsid w:val="00F61DF8"/>
    <w:rsid w:val="00F61FC5"/>
    <w:rsid w:val="00F62692"/>
    <w:rsid w:val="00F6270E"/>
    <w:rsid w:val="00F627AA"/>
    <w:rsid w:val="00F62FF6"/>
    <w:rsid w:val="00F63953"/>
    <w:rsid w:val="00F63E88"/>
    <w:rsid w:val="00F6433F"/>
    <w:rsid w:val="00F645C3"/>
    <w:rsid w:val="00F64E34"/>
    <w:rsid w:val="00F6548D"/>
    <w:rsid w:val="00F65C4C"/>
    <w:rsid w:val="00F65D18"/>
    <w:rsid w:val="00F6656B"/>
    <w:rsid w:val="00F66740"/>
    <w:rsid w:val="00F669B3"/>
    <w:rsid w:val="00F66D6A"/>
    <w:rsid w:val="00F672CD"/>
    <w:rsid w:val="00F67BA7"/>
    <w:rsid w:val="00F67F61"/>
    <w:rsid w:val="00F714A6"/>
    <w:rsid w:val="00F714CD"/>
    <w:rsid w:val="00F714F6"/>
    <w:rsid w:val="00F71542"/>
    <w:rsid w:val="00F738B8"/>
    <w:rsid w:val="00F7415A"/>
    <w:rsid w:val="00F746EE"/>
    <w:rsid w:val="00F74C59"/>
    <w:rsid w:val="00F752F2"/>
    <w:rsid w:val="00F76109"/>
    <w:rsid w:val="00F76375"/>
    <w:rsid w:val="00F767EF"/>
    <w:rsid w:val="00F76A15"/>
    <w:rsid w:val="00F76C13"/>
    <w:rsid w:val="00F76E06"/>
    <w:rsid w:val="00F8078B"/>
    <w:rsid w:val="00F81298"/>
    <w:rsid w:val="00F816B5"/>
    <w:rsid w:val="00F81C64"/>
    <w:rsid w:val="00F8225C"/>
    <w:rsid w:val="00F83068"/>
    <w:rsid w:val="00F83A6E"/>
    <w:rsid w:val="00F840D4"/>
    <w:rsid w:val="00F84249"/>
    <w:rsid w:val="00F84D80"/>
    <w:rsid w:val="00F85405"/>
    <w:rsid w:val="00F85408"/>
    <w:rsid w:val="00F8594C"/>
    <w:rsid w:val="00F872F4"/>
    <w:rsid w:val="00F8779B"/>
    <w:rsid w:val="00F87CB8"/>
    <w:rsid w:val="00F90403"/>
    <w:rsid w:val="00F90936"/>
    <w:rsid w:val="00F91A7C"/>
    <w:rsid w:val="00F91DE3"/>
    <w:rsid w:val="00F91FC0"/>
    <w:rsid w:val="00F930A7"/>
    <w:rsid w:val="00F93271"/>
    <w:rsid w:val="00F93FCF"/>
    <w:rsid w:val="00F944D5"/>
    <w:rsid w:val="00F95BD9"/>
    <w:rsid w:val="00F95E19"/>
    <w:rsid w:val="00F96477"/>
    <w:rsid w:val="00F96B12"/>
    <w:rsid w:val="00F97135"/>
    <w:rsid w:val="00F97C8E"/>
    <w:rsid w:val="00F97CB4"/>
    <w:rsid w:val="00FA0217"/>
    <w:rsid w:val="00FA0998"/>
    <w:rsid w:val="00FA09EE"/>
    <w:rsid w:val="00FA0C73"/>
    <w:rsid w:val="00FA11F9"/>
    <w:rsid w:val="00FA1567"/>
    <w:rsid w:val="00FA1E99"/>
    <w:rsid w:val="00FA2723"/>
    <w:rsid w:val="00FA2CB9"/>
    <w:rsid w:val="00FA36C2"/>
    <w:rsid w:val="00FA3A11"/>
    <w:rsid w:val="00FA3A12"/>
    <w:rsid w:val="00FA4032"/>
    <w:rsid w:val="00FA4099"/>
    <w:rsid w:val="00FA4E4B"/>
    <w:rsid w:val="00FA53EF"/>
    <w:rsid w:val="00FA58EE"/>
    <w:rsid w:val="00FA6306"/>
    <w:rsid w:val="00FA638E"/>
    <w:rsid w:val="00FA677E"/>
    <w:rsid w:val="00FA7484"/>
    <w:rsid w:val="00FA7F5E"/>
    <w:rsid w:val="00FB0B43"/>
    <w:rsid w:val="00FB0E32"/>
    <w:rsid w:val="00FB1587"/>
    <w:rsid w:val="00FB159C"/>
    <w:rsid w:val="00FB21B2"/>
    <w:rsid w:val="00FB21D5"/>
    <w:rsid w:val="00FB2369"/>
    <w:rsid w:val="00FB3C87"/>
    <w:rsid w:val="00FB4008"/>
    <w:rsid w:val="00FB417E"/>
    <w:rsid w:val="00FB434D"/>
    <w:rsid w:val="00FB449A"/>
    <w:rsid w:val="00FB5B70"/>
    <w:rsid w:val="00FB5BA2"/>
    <w:rsid w:val="00FB5FD7"/>
    <w:rsid w:val="00FB631F"/>
    <w:rsid w:val="00FB64CB"/>
    <w:rsid w:val="00FB6567"/>
    <w:rsid w:val="00FB68D1"/>
    <w:rsid w:val="00FB7020"/>
    <w:rsid w:val="00FC04BE"/>
    <w:rsid w:val="00FC0A12"/>
    <w:rsid w:val="00FC1235"/>
    <w:rsid w:val="00FC1FA0"/>
    <w:rsid w:val="00FC2020"/>
    <w:rsid w:val="00FC2075"/>
    <w:rsid w:val="00FC21F7"/>
    <w:rsid w:val="00FC2318"/>
    <w:rsid w:val="00FC2579"/>
    <w:rsid w:val="00FC29A8"/>
    <w:rsid w:val="00FC30BE"/>
    <w:rsid w:val="00FC367B"/>
    <w:rsid w:val="00FC3CC0"/>
    <w:rsid w:val="00FC3E39"/>
    <w:rsid w:val="00FC3ECC"/>
    <w:rsid w:val="00FC4284"/>
    <w:rsid w:val="00FC4589"/>
    <w:rsid w:val="00FC4A9F"/>
    <w:rsid w:val="00FC5187"/>
    <w:rsid w:val="00FC528F"/>
    <w:rsid w:val="00FC53E8"/>
    <w:rsid w:val="00FC6610"/>
    <w:rsid w:val="00FC712F"/>
    <w:rsid w:val="00FC7379"/>
    <w:rsid w:val="00FC75D8"/>
    <w:rsid w:val="00FC7984"/>
    <w:rsid w:val="00FC7C50"/>
    <w:rsid w:val="00FD020B"/>
    <w:rsid w:val="00FD0210"/>
    <w:rsid w:val="00FD070D"/>
    <w:rsid w:val="00FD102E"/>
    <w:rsid w:val="00FD137D"/>
    <w:rsid w:val="00FD1C8B"/>
    <w:rsid w:val="00FD1F63"/>
    <w:rsid w:val="00FD2444"/>
    <w:rsid w:val="00FD260D"/>
    <w:rsid w:val="00FD26E7"/>
    <w:rsid w:val="00FD294F"/>
    <w:rsid w:val="00FD3416"/>
    <w:rsid w:val="00FD3A18"/>
    <w:rsid w:val="00FD3D94"/>
    <w:rsid w:val="00FD428B"/>
    <w:rsid w:val="00FD43B0"/>
    <w:rsid w:val="00FD55E6"/>
    <w:rsid w:val="00FD5847"/>
    <w:rsid w:val="00FD5B63"/>
    <w:rsid w:val="00FD6631"/>
    <w:rsid w:val="00FD6896"/>
    <w:rsid w:val="00FD694B"/>
    <w:rsid w:val="00FD69FF"/>
    <w:rsid w:val="00FD7450"/>
    <w:rsid w:val="00FD7887"/>
    <w:rsid w:val="00FD7C41"/>
    <w:rsid w:val="00FD7FE6"/>
    <w:rsid w:val="00FE012D"/>
    <w:rsid w:val="00FE05C4"/>
    <w:rsid w:val="00FE0BD7"/>
    <w:rsid w:val="00FE0EB9"/>
    <w:rsid w:val="00FE1527"/>
    <w:rsid w:val="00FE1C61"/>
    <w:rsid w:val="00FE2592"/>
    <w:rsid w:val="00FE2A16"/>
    <w:rsid w:val="00FE2BE9"/>
    <w:rsid w:val="00FE2DF1"/>
    <w:rsid w:val="00FE372D"/>
    <w:rsid w:val="00FE38E7"/>
    <w:rsid w:val="00FE42DA"/>
    <w:rsid w:val="00FE4721"/>
    <w:rsid w:val="00FE47DE"/>
    <w:rsid w:val="00FE5837"/>
    <w:rsid w:val="00FE5C14"/>
    <w:rsid w:val="00FE5DCC"/>
    <w:rsid w:val="00FE616A"/>
    <w:rsid w:val="00FE6574"/>
    <w:rsid w:val="00FE65BA"/>
    <w:rsid w:val="00FE693D"/>
    <w:rsid w:val="00FE796F"/>
    <w:rsid w:val="00FF1207"/>
    <w:rsid w:val="00FF12A6"/>
    <w:rsid w:val="00FF149D"/>
    <w:rsid w:val="00FF198F"/>
    <w:rsid w:val="00FF1F48"/>
    <w:rsid w:val="00FF221B"/>
    <w:rsid w:val="00FF2403"/>
    <w:rsid w:val="00FF28BC"/>
    <w:rsid w:val="00FF28C3"/>
    <w:rsid w:val="00FF2CF0"/>
    <w:rsid w:val="00FF2D19"/>
    <w:rsid w:val="00FF2F06"/>
    <w:rsid w:val="00FF3232"/>
    <w:rsid w:val="00FF35A8"/>
    <w:rsid w:val="00FF3EBE"/>
    <w:rsid w:val="00FF4BB0"/>
    <w:rsid w:val="00FF5531"/>
    <w:rsid w:val="00FF57DB"/>
    <w:rsid w:val="00FF5881"/>
    <w:rsid w:val="00FF58B5"/>
    <w:rsid w:val="00FF5911"/>
    <w:rsid w:val="00FF693A"/>
    <w:rsid w:val="00FF6948"/>
    <w:rsid w:val="00FF6BDC"/>
    <w:rsid w:val="00FF7550"/>
    <w:rsid w:val="00FF761F"/>
    <w:rsid w:val="00FF7D86"/>
    <w:rsid w:val="5E51A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2B052"/>
  <w15:docId w15:val="{51454E27-9C1E-4743-8A5B-D7603AE4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8F6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4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40635"/>
    <w:pPr>
      <w:keepNext/>
      <w:keepLines/>
      <w:numPr>
        <w:numId w:val="6"/>
      </w:numPr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81396"/>
    <w:pPr>
      <w:ind w:left="720"/>
      <w:contextualSpacing/>
    </w:pPr>
  </w:style>
  <w:style w:type="paragraph" w:customStyle="1" w:styleId="Default">
    <w:name w:val="Default"/>
    <w:rsid w:val="005F30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1F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91F55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191F55"/>
    <w:rPr>
      <w:vertAlign w:val="superscript"/>
    </w:rPr>
  </w:style>
  <w:style w:type="table" w:styleId="TableGrid">
    <w:name w:val="Table Grid"/>
    <w:basedOn w:val="TableNormal"/>
    <w:uiPriority w:val="59"/>
    <w:rsid w:val="0077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qFormat/>
    <w:rsid w:val="00C3558A"/>
    <w:pPr>
      <w:spacing w:after="0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qFormat/>
    <w:rsid w:val="00C3558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C3558A"/>
    <w:rPr>
      <w:vertAlign w:val="superscript"/>
    </w:rPr>
  </w:style>
  <w:style w:type="character" w:styleId="Hyperlink">
    <w:name w:val="Hyperlink"/>
    <w:uiPriority w:val="99"/>
    <w:unhideWhenUsed/>
    <w:rsid w:val="00DF6722"/>
    <w:rPr>
      <w:color w:val="0563C1"/>
      <w:u w:val="single"/>
    </w:rPr>
  </w:style>
  <w:style w:type="character" w:styleId="Strong">
    <w:name w:val="Strong"/>
    <w:uiPriority w:val="22"/>
    <w:qFormat/>
    <w:rsid w:val="00AB463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C5517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0A09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09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A098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9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A0984"/>
    <w:rPr>
      <w:b/>
      <w:bCs/>
      <w:lang w:eastAsia="en-US"/>
    </w:rPr>
  </w:style>
  <w:style w:type="character" w:styleId="FollowedHyperlink">
    <w:name w:val="FollowedHyperlink"/>
    <w:uiPriority w:val="99"/>
    <w:semiHidden/>
    <w:unhideWhenUsed/>
    <w:rsid w:val="00FC21F7"/>
    <w:rPr>
      <w:color w:val="954F72"/>
      <w:u w:val="single"/>
    </w:rPr>
  </w:style>
  <w:style w:type="paragraph" w:customStyle="1" w:styleId="tbl-txt2">
    <w:name w:val="tbl-txt2"/>
    <w:basedOn w:val="Normal"/>
    <w:rsid w:val="00792DF9"/>
    <w:pPr>
      <w:spacing w:before="60" w:after="60" w:line="312" w:lineRule="atLeast"/>
    </w:pPr>
    <w:rPr>
      <w:rFonts w:ascii="Times New Roman" w:eastAsia="Times New Roman" w:hAnsi="Times New Roman"/>
      <w:lang w:eastAsia="bg-BG"/>
    </w:rPr>
  </w:style>
  <w:style w:type="paragraph" w:styleId="Header">
    <w:name w:val="header"/>
    <w:basedOn w:val="Normal"/>
    <w:link w:val="HeaderChar"/>
    <w:unhideWhenUsed/>
    <w:rsid w:val="00341D9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41D9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1D9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41D97"/>
    <w:rPr>
      <w:sz w:val="22"/>
      <w:szCs w:val="22"/>
      <w:lang w:eastAsia="en-US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510DE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91E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BB191E"/>
    <w:rPr>
      <w:rFonts w:ascii="Calibri Light" w:eastAsia="Times New Roman" w:hAnsi="Calibri Light" w:cs="Times New Roman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942289"/>
    <w:rPr>
      <w:i/>
      <w:iCs/>
      <w:color w:val="404040"/>
    </w:rPr>
  </w:style>
  <w:style w:type="paragraph" w:customStyle="1" w:styleId="List2">
    <w:name w:val="List2"/>
    <w:basedOn w:val="Normal"/>
    <w:rsid w:val="00FD34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italics">
    <w:name w:val="italics"/>
    <w:basedOn w:val="DefaultParagraphFont"/>
    <w:rsid w:val="00FD3416"/>
  </w:style>
  <w:style w:type="character" w:styleId="UnresolvedMention">
    <w:name w:val="Unresolved Mention"/>
    <w:basedOn w:val="DefaultParagraphFont"/>
    <w:uiPriority w:val="99"/>
    <w:semiHidden/>
    <w:unhideWhenUsed/>
    <w:rsid w:val="009062E0"/>
    <w:rPr>
      <w:color w:val="605E5C"/>
      <w:shd w:val="clear" w:color="auto" w:fill="E1DFDD"/>
    </w:rPr>
  </w:style>
  <w:style w:type="paragraph" w:customStyle="1" w:styleId="Style1">
    <w:name w:val="Style1"/>
    <w:basedOn w:val="Heading1"/>
    <w:next w:val="Default"/>
    <w:link w:val="Style1Char"/>
    <w:autoRedefine/>
    <w:qFormat/>
    <w:rsid w:val="00964838"/>
    <w:pPr>
      <w:widowControl w:val="0"/>
      <w:numPr>
        <w:numId w:val="5"/>
      </w:numPr>
      <w:pBdr>
        <w:top w:val="single" w:sz="4" w:space="1" w:color="auto"/>
        <w:bottom w:val="single" w:sz="4" w:space="1" w:color="auto"/>
      </w:pBdr>
      <w:shd w:val="clear" w:color="auto" w:fill="9CC2E5"/>
      <w:spacing w:before="120" w:line="240" w:lineRule="auto"/>
      <w:jc w:val="both"/>
    </w:pPr>
    <w:rPr>
      <w:rFonts w:ascii="Times New Roman" w:hAnsi="Times New Roman" w:cs="Times New Roman"/>
      <w:b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D1412"/>
    <w:pPr>
      <w:outlineLvl w:val="9"/>
    </w:pPr>
    <w:rPr>
      <w:lang w:val="en-US"/>
    </w:rPr>
  </w:style>
  <w:style w:type="character" w:customStyle="1" w:styleId="Style1Char">
    <w:name w:val="Style1 Char"/>
    <w:basedOn w:val="ListParagraphChar"/>
    <w:link w:val="Style1"/>
    <w:rsid w:val="00964838"/>
    <w:rPr>
      <w:rFonts w:ascii="Times New Roman" w:eastAsiaTheme="majorEastAsia" w:hAnsi="Times New Roman"/>
      <w:b/>
      <w:sz w:val="24"/>
      <w:szCs w:val="24"/>
      <w:shd w:val="clear" w:color="auto" w:fill="9CC2E5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D141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2749A"/>
    <w:pPr>
      <w:tabs>
        <w:tab w:val="left" w:pos="440"/>
        <w:tab w:val="right" w:leader="dot" w:pos="9062"/>
      </w:tabs>
      <w:spacing w:before="120" w:after="0"/>
      <w:jc w:val="both"/>
    </w:pPr>
    <w:rPr>
      <w:rFonts w:ascii="Times New Roman" w:hAnsi="Times New Roman" w:cstheme="minorHAnsi"/>
      <w:b/>
      <w:bCs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825E5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8825E5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825E5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825E5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825E5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825E5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825E5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825E5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40635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8E6E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D4F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7284">
                  <w:marLeft w:val="0"/>
                  <w:marRight w:val="0"/>
                  <w:marTop w:val="0"/>
                  <w:marBottom w:val="0"/>
                  <w:divBdr>
                    <w:top w:val="single" w:sz="6" w:space="0" w:color="700000"/>
                    <w:left w:val="single" w:sz="6" w:space="0" w:color="700000"/>
                    <w:bottom w:val="single" w:sz="6" w:space="0" w:color="700000"/>
                    <w:right w:val="single" w:sz="6" w:space="0" w:color="700000"/>
                  </w:divBdr>
                  <w:divsChild>
                    <w:div w:id="931939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3693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FFFFFF"/>
                            <w:right w:val="none" w:sz="0" w:space="0" w:color="auto"/>
                          </w:divBdr>
                          <w:divsChild>
                            <w:div w:id="53234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funding-tenders/opportunities/docs/2021-2027/common/guidance/unit-cost-decision-travel_en.pdf" TargetMode="External"/><Relationship Id="rId1" Type="http://schemas.openxmlformats.org/officeDocument/2006/relationships/hyperlink" Target="https://commission.europa.eu/funding-tenders/procedures-guidelines-tenders/information-contractors-and-beneficiaries/calculate-unit-costs-eligible-travel-costs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711CD-1AF8-40D9-B224-3786EC6F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26</Pages>
  <Words>7186</Words>
  <Characters>40964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cp:lastModifiedBy>user</cp:lastModifiedBy>
  <cp:revision>33</cp:revision>
  <cp:lastPrinted>2018-07-23T09:11:00Z</cp:lastPrinted>
  <dcterms:created xsi:type="dcterms:W3CDTF">2025-09-16T07:48:00Z</dcterms:created>
  <dcterms:modified xsi:type="dcterms:W3CDTF">2025-09-17T11:39:00Z</dcterms:modified>
</cp:coreProperties>
</file>